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427" w:rsidRDefault="00EE2593">
      <w:pPr>
        <w:rPr>
          <w:rFonts w:ascii="Times New Roman" w:eastAsia="Times New Roman" w:hAnsi="Times New Roman" w:cs="Times New Roman"/>
          <w:sz w:val="24"/>
          <w:szCs w:val="24"/>
        </w:rPr>
      </w:pPr>
      <w:bookmarkStart w:id="0" w:name="_GoBack"/>
      <w:bookmarkEnd w:id="0"/>
      <w:r>
        <w:rPr>
          <w:noProof/>
          <w:lang w:val="es-419"/>
        </w:rPr>
        <w:drawing>
          <wp:anchor distT="0" distB="0" distL="114300" distR="114300" simplePos="0" relativeHeight="251658240" behindDoc="0" locked="0" layoutInCell="1" allowOverlap="1">
            <wp:simplePos x="0" y="0"/>
            <wp:positionH relativeFrom="column">
              <wp:posOffset>4238625</wp:posOffset>
            </wp:positionH>
            <wp:positionV relativeFrom="paragraph">
              <wp:posOffset>0</wp:posOffset>
            </wp:positionV>
            <wp:extent cx="2238375" cy="647700"/>
            <wp:effectExtent l="0" t="0" r="952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238375" cy="647700"/>
                    </a:xfrm>
                    <a:prstGeom prst="rect">
                      <a:avLst/>
                    </a:prstGeom>
                  </pic:spPr>
                </pic:pic>
              </a:graphicData>
            </a:graphic>
            <wp14:sizeRelH relativeFrom="margin">
              <wp14:pctWidth>0</wp14:pctWidth>
            </wp14:sizeRelH>
            <wp14:sizeRelV relativeFrom="margin">
              <wp14:pctHeight>0</wp14:pctHeight>
            </wp14:sizeRelV>
          </wp:anchor>
        </w:drawing>
      </w:r>
    </w:p>
    <w:p w:rsidR="00FF4427" w:rsidRDefault="00FF4427">
      <w:pPr>
        <w:rPr>
          <w:rFonts w:ascii="Times New Roman" w:eastAsia="Times New Roman" w:hAnsi="Times New Roman" w:cs="Times New Roman"/>
          <w:sz w:val="24"/>
          <w:szCs w:val="24"/>
        </w:rPr>
      </w:pPr>
    </w:p>
    <w:p w:rsidR="00FF4427" w:rsidRDefault="00FF4427">
      <w:pPr>
        <w:rPr>
          <w:rFonts w:ascii="Times New Roman" w:eastAsia="Times New Roman" w:hAnsi="Times New Roman" w:cs="Times New Roman"/>
          <w:sz w:val="24"/>
          <w:szCs w:val="24"/>
        </w:rPr>
      </w:pPr>
    </w:p>
    <w:p w:rsidR="00FF4427" w:rsidRDefault="00FF4427">
      <w:pPr>
        <w:rPr>
          <w:rFonts w:ascii="Times New Roman" w:eastAsia="Times New Roman" w:hAnsi="Times New Roman" w:cs="Times New Roman"/>
          <w:sz w:val="24"/>
          <w:szCs w:val="24"/>
        </w:rPr>
      </w:pPr>
    </w:p>
    <w:p w:rsidR="00FF4427" w:rsidRDefault="00FF4427">
      <w:pPr>
        <w:rPr>
          <w:rFonts w:ascii="Times New Roman" w:eastAsia="Times New Roman" w:hAnsi="Times New Roman" w:cs="Times New Roman"/>
          <w:sz w:val="24"/>
          <w:szCs w:val="24"/>
        </w:rPr>
      </w:pPr>
    </w:p>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MEMORANDO</w:t>
      </w:r>
      <w:r>
        <w:rPr>
          <w:rFonts w:ascii="Times New Roman" w:eastAsia="Times New Roman" w:hAnsi="Times New Roman" w:cs="Times New Roman"/>
          <w:sz w:val="24"/>
          <w:szCs w:val="24"/>
        </w:rPr>
        <w:t xml:space="preserve"> </w:t>
      </w:r>
    </w:p>
    <w:p w:rsidR="00FF4427" w:rsidRDefault="000E45D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PARA</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H.C. ANDRES BARRIOS BERNAL  </w:t>
      </w:r>
    </w:p>
    <w:p w:rsidR="00FF4427" w:rsidRDefault="000E45D6">
      <w:pPr>
        <w:ind w:left="708" w:firstLine="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Presidente Comisión Segunda Permanente de Gobierno</w:t>
      </w:r>
    </w:p>
    <w:p w:rsidR="00FF4427" w:rsidRDefault="000E45D6">
      <w:pPr>
        <w:ind w:left="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ind w:left="850"/>
        <w:rPr>
          <w:rFonts w:ascii="Times New Roman" w:eastAsia="Times New Roman" w:hAnsi="Times New Roman" w:cs="Times New Roman"/>
          <w:sz w:val="24"/>
          <w:szCs w:val="24"/>
        </w:rPr>
      </w:pPr>
      <w:r>
        <w:rPr>
          <w:rFonts w:ascii="Times New Roman" w:eastAsia="Times New Roman" w:hAnsi="Times New Roman" w:cs="Times New Roman"/>
          <w:b/>
          <w:sz w:val="24"/>
          <w:szCs w:val="24"/>
        </w:rPr>
        <w:t>DE</w:t>
      </w:r>
      <w:r>
        <w:rPr>
          <w:rFonts w:ascii="Times New Roman" w:eastAsia="Times New Roman" w:hAnsi="Times New Roman" w:cs="Times New Roman"/>
          <w:sz w:val="24"/>
          <w:szCs w:val="24"/>
        </w:rPr>
        <w:t>: H.C. Julián David Rodríguez Sastoque (Coordinador ponente).</w:t>
      </w:r>
    </w:p>
    <w:p w:rsidR="00FF4427" w:rsidRDefault="000E45D6">
      <w:pPr>
        <w:ind w:left="425"/>
        <w:rPr>
          <w:rFonts w:ascii="Times New Roman" w:eastAsia="Times New Roman" w:hAnsi="Times New Roman" w:cs="Times New Roman"/>
          <w:sz w:val="24"/>
          <w:szCs w:val="24"/>
        </w:rPr>
      </w:pPr>
      <w:r>
        <w:rPr>
          <w:rFonts w:ascii="Times New Roman" w:eastAsia="Times New Roman" w:hAnsi="Times New Roman" w:cs="Times New Roman"/>
          <w:sz w:val="24"/>
          <w:szCs w:val="24"/>
        </w:rPr>
        <w:t>H.C. Fernando Lopez (Ponente).</w:t>
      </w:r>
    </w:p>
    <w:p w:rsidR="00FF4427" w:rsidRDefault="000E45D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ind w:left="113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ASUNTO:</w:t>
      </w:r>
      <w:r>
        <w:rPr>
          <w:rFonts w:ascii="Times New Roman" w:eastAsia="Times New Roman" w:hAnsi="Times New Roman" w:cs="Times New Roman"/>
          <w:sz w:val="24"/>
          <w:szCs w:val="24"/>
        </w:rPr>
        <w:t xml:space="preserve">  Ponencia Positiva Conjunta con Modificaciones al Proyecto de  Acuerdo No. 161 de 2025.</w:t>
      </w:r>
    </w:p>
    <w:p w:rsidR="00FF4427" w:rsidRDefault="00FF4427">
      <w:pPr>
        <w:jc w:val="both"/>
        <w:rPr>
          <w:rFonts w:ascii="Times New Roman" w:eastAsia="Times New Roman" w:hAnsi="Times New Roman" w:cs="Times New Roman"/>
          <w:sz w:val="24"/>
          <w:szCs w:val="24"/>
        </w:rPr>
      </w:pPr>
    </w:p>
    <w:p w:rsidR="00FF4427" w:rsidRDefault="000E45D6">
      <w:pPr>
        <w:ind w:left="2840" w:hanging="14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Apreciado Dr. Barrios</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Reciba un cordial saludo. </w:t>
      </w:r>
    </w:p>
    <w:p w:rsidR="00FF4427" w:rsidRDefault="000E45D6">
      <w:pPr>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De conformidad con lo señalado en el Artículo 71 del  Acuerdo 741 de 2019, de manera atenta, nos permitimos radicar en medio magnético ante su despacho </w:t>
      </w:r>
      <w:r>
        <w:rPr>
          <w:rFonts w:ascii="Times New Roman" w:eastAsia="Times New Roman" w:hAnsi="Times New Roman" w:cs="Times New Roman"/>
          <w:b/>
          <w:sz w:val="24"/>
          <w:szCs w:val="24"/>
        </w:rPr>
        <w:t>Ponencia Positiva con modificaciones</w:t>
      </w:r>
      <w:r>
        <w:rPr>
          <w:rFonts w:ascii="Times New Roman" w:eastAsia="Times New Roman" w:hAnsi="Times New Roman" w:cs="Times New Roman"/>
          <w:sz w:val="24"/>
          <w:szCs w:val="24"/>
        </w:rPr>
        <w:t xml:space="preserve"> al Proyecto de Acuerdo Nº 161 de 2025 </w:t>
      </w:r>
      <w:r>
        <w:rPr>
          <w:rFonts w:ascii="Times New Roman" w:eastAsia="Times New Roman" w:hAnsi="Times New Roman" w:cs="Times New Roman"/>
          <w:i/>
          <w:sz w:val="24"/>
          <w:szCs w:val="24"/>
        </w:rPr>
        <w:t>"Por medio del cual se promueve la seguridad en las copropiedades sujetas al régimen de propiedad horizontal en el Distrito Capital"</w:t>
      </w:r>
    </w:p>
    <w:p w:rsidR="00FF4427" w:rsidRDefault="00FF4427">
      <w:pPr>
        <w:jc w:val="both"/>
        <w:rPr>
          <w:rFonts w:ascii="Times New Roman" w:eastAsia="Times New Roman" w:hAnsi="Times New Roman" w:cs="Times New Roman"/>
          <w:i/>
          <w:sz w:val="24"/>
          <w:szCs w:val="24"/>
        </w:rPr>
      </w:pP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Agradecemos su amable gestión.</w:t>
      </w:r>
    </w:p>
    <w:p w:rsidR="00FF4427" w:rsidRDefault="00FF4427">
      <w:pPr>
        <w:jc w:val="both"/>
        <w:rPr>
          <w:rFonts w:ascii="Times New Roman" w:eastAsia="Times New Roman" w:hAnsi="Times New Roman" w:cs="Times New Roman"/>
          <w:sz w:val="24"/>
          <w:szCs w:val="24"/>
        </w:rPr>
      </w:pP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Cordialmente,</w:t>
      </w:r>
    </w:p>
    <w:p w:rsidR="00FF4427" w:rsidRDefault="00FF4427">
      <w:pPr>
        <w:jc w:val="both"/>
        <w:rPr>
          <w:rFonts w:ascii="Times New Roman" w:eastAsia="Times New Roman" w:hAnsi="Times New Roman" w:cs="Times New Roman"/>
          <w:sz w:val="24"/>
          <w:szCs w:val="24"/>
        </w:rPr>
      </w:pPr>
    </w:p>
    <w:p w:rsidR="00FF4427" w:rsidRDefault="00FF4427">
      <w:pPr>
        <w:jc w:val="both"/>
        <w:rPr>
          <w:rFonts w:ascii="Times New Roman" w:eastAsia="Times New Roman" w:hAnsi="Times New Roman" w:cs="Times New Roman"/>
          <w:sz w:val="24"/>
          <w:szCs w:val="24"/>
        </w:rPr>
        <w:sectPr w:rsidR="00FF4427">
          <w:headerReference w:type="default" r:id="rId8"/>
          <w:pgSz w:w="12240" w:h="15840"/>
          <w:pgMar w:top="1440" w:right="1440" w:bottom="1440" w:left="1440" w:header="720" w:footer="720" w:gutter="0"/>
          <w:pgNumType w:start="1"/>
          <w:cols w:space="720"/>
        </w:sectPr>
      </w:pPr>
    </w:p>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JULIÁN RODRÍGUEZ SASTOQUE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D.C.</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Partido Alianza Verde</w:t>
      </w:r>
    </w:p>
    <w:p w:rsidR="00FF4427" w:rsidRDefault="000E45D6">
      <w:pPr>
        <w:rPr>
          <w:rFonts w:ascii="Times New Roman" w:eastAsia="Times New Roman" w:hAnsi="Times New Roman" w:cs="Times New Roman"/>
          <w:sz w:val="24"/>
          <w:szCs w:val="24"/>
        </w:rPr>
      </w:pPr>
      <w:r>
        <w:rPr>
          <w:rFonts w:ascii="Times New Roman" w:eastAsia="Times New Roman" w:hAnsi="Times New Roman" w:cs="Times New Roman"/>
          <w:sz w:val="24"/>
          <w:szCs w:val="24"/>
        </w:rPr>
        <w:t>Coordinador ponente.</w:t>
      </w:r>
    </w:p>
    <w:p w:rsidR="00FF4427" w:rsidRDefault="00FF4427">
      <w:pPr>
        <w:jc w:val="both"/>
        <w:rPr>
          <w:rFonts w:ascii="Times New Roman" w:eastAsia="Times New Roman" w:hAnsi="Times New Roman" w:cs="Times New Roman"/>
          <w:sz w:val="24"/>
          <w:szCs w:val="24"/>
          <w:highlight w:val="yellow"/>
        </w:rPr>
      </w:pPr>
    </w:p>
    <w:p w:rsidR="00FF4427" w:rsidRDefault="00FF4427">
      <w:pPr>
        <w:jc w:val="both"/>
        <w:rPr>
          <w:rFonts w:ascii="Times New Roman" w:eastAsia="Times New Roman" w:hAnsi="Times New Roman" w:cs="Times New Roman"/>
          <w:sz w:val="24"/>
          <w:szCs w:val="24"/>
          <w:highlight w:val="yellow"/>
        </w:rPr>
      </w:pPr>
    </w:p>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FERNANDO LÓPEZ GUTIÉRREZ</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D.C.</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Partido Nuevo Liberalismo.</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Ponente.</w:t>
      </w:r>
    </w:p>
    <w:p w:rsidR="00FF4427" w:rsidRDefault="00FF4427">
      <w:pPr>
        <w:jc w:val="both"/>
        <w:rPr>
          <w:rFonts w:ascii="Times New Roman" w:eastAsia="Times New Roman" w:hAnsi="Times New Roman" w:cs="Times New Roman"/>
          <w:sz w:val="24"/>
          <w:szCs w:val="24"/>
        </w:rPr>
      </w:pPr>
    </w:p>
    <w:p w:rsidR="00FF4427" w:rsidRDefault="000E45D6">
      <w:pPr>
        <w:rPr>
          <w:rFonts w:ascii="Times New Roman" w:eastAsia="Times New Roman" w:hAnsi="Times New Roman" w:cs="Times New Roman"/>
          <w:b/>
          <w:sz w:val="24"/>
          <w:szCs w:val="24"/>
        </w:rPr>
        <w:sectPr w:rsidR="00FF4427">
          <w:type w:val="continuous"/>
          <w:pgSz w:w="12240" w:h="15840"/>
          <w:pgMar w:top="1417" w:right="1701" w:bottom="1417" w:left="1701" w:header="708" w:footer="708" w:gutter="0"/>
          <w:cols w:num="2" w:space="720" w:equalWidth="0">
            <w:col w:w="4059" w:space="720"/>
            <w:col w:w="4059" w:space="0"/>
          </w:cols>
        </w:sectPr>
      </w:pPr>
      <w:r>
        <w:rPr>
          <w:rFonts w:ascii="Times New Roman" w:eastAsia="Times New Roman" w:hAnsi="Times New Roman" w:cs="Times New Roman"/>
          <w:sz w:val="24"/>
          <w:szCs w:val="24"/>
        </w:rPr>
        <w:t xml:space="preserv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FF4427" w:rsidRDefault="00FF4427">
      <w:pPr>
        <w:jc w:val="both"/>
        <w:rPr>
          <w:rFonts w:ascii="Times New Roman" w:eastAsia="Times New Roman" w:hAnsi="Times New Roman" w:cs="Times New Roman"/>
          <w:sz w:val="24"/>
          <w:szCs w:val="24"/>
        </w:rPr>
      </w:pPr>
    </w:p>
    <w:p w:rsidR="00FF4427" w:rsidRDefault="000E45D6">
      <w:pPr>
        <w:spacing w:after="160"/>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PONENCIA PARA PRIMER DEBATE AL PROYECTO DE ACUERDO No. 161 DE 2025</w:t>
      </w:r>
    </w:p>
    <w:p w:rsidR="00FF4427" w:rsidRDefault="000E45D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“POR MEDIO DEL CUAL SE PROMUEVE LA SEGURIDAD EN LAS COPROPIEDADES SUJETAS AL RÉGIMEN DE PROPIEDAD HORIZONTAL EN EL DISTRITO CAPITAL” </w:t>
      </w:r>
    </w:p>
    <w:p w:rsidR="00FF4427" w:rsidRDefault="00FF4427">
      <w:pPr>
        <w:jc w:val="center"/>
        <w:rPr>
          <w:rFonts w:ascii="Times New Roman" w:eastAsia="Times New Roman" w:hAnsi="Times New Roman" w:cs="Times New Roman"/>
          <w:b/>
          <w:sz w:val="24"/>
          <w:szCs w:val="24"/>
        </w:rPr>
      </w:pPr>
    </w:p>
    <w:p w:rsidR="00FF4427" w:rsidRDefault="000E45D6">
      <w:pPr>
        <w:spacing w:after="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conformidad con la asignación realizada por la Presidencia del Concejo de Bogotá D.C. y con fundamento en el artículo 71 del Acuerdo 741 de 2019, nos permitimos presentar ponencia positiva para primer debate al Proyecto de Acuerdo No. 161 de 2025 </w:t>
      </w:r>
      <w:r>
        <w:rPr>
          <w:rFonts w:ascii="Times New Roman" w:eastAsia="Times New Roman" w:hAnsi="Times New Roman" w:cs="Times New Roman"/>
          <w:i/>
          <w:sz w:val="24"/>
          <w:szCs w:val="24"/>
        </w:rPr>
        <w:t>"Por medio del cual se promueve la seguridad en las copropiedades sujetas al régimen de propiedad horizontal en el Distrito Capital"</w:t>
      </w:r>
      <w:r>
        <w:rPr>
          <w:rFonts w:ascii="Times New Roman" w:eastAsia="Times New Roman" w:hAnsi="Times New Roman" w:cs="Times New Roman"/>
          <w:sz w:val="24"/>
          <w:szCs w:val="24"/>
        </w:rPr>
        <w:t>, en los siguientes términos:</w:t>
      </w:r>
    </w:p>
    <w:p w:rsidR="00FF4427" w:rsidRDefault="00FF4427">
      <w:pPr>
        <w:spacing w:after="160"/>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 OBJETO DEL PROYECTO</w:t>
      </w:r>
      <w:r>
        <w:rPr>
          <w:rFonts w:ascii="Times New Roman" w:eastAsia="Times New Roman" w:hAnsi="Times New Roman" w:cs="Times New Roman"/>
          <w:sz w:val="24"/>
          <w:szCs w:val="24"/>
        </w:rPr>
        <w:t xml:space="preserve">         </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presente acuerdo tiene como objeto establecer medidas para promover y garantizar la seguridad en las copropiedades sujetas al régimen de propiedad horizontal en el Distrito Capital, con el fin de mejorar la protección de los residentes y sus bienes.     </w:t>
      </w:r>
    </w:p>
    <w:p w:rsidR="00FF4427" w:rsidRDefault="00FF4427">
      <w:pPr>
        <w:jc w:val="both"/>
        <w:rPr>
          <w:rFonts w:ascii="Times New Roman" w:eastAsia="Times New Roman" w:hAnsi="Times New Roman" w:cs="Times New Roman"/>
          <w:sz w:val="24"/>
          <w:szCs w:val="24"/>
        </w:rPr>
      </w:pPr>
    </w:p>
    <w:p w:rsidR="00FF4427" w:rsidRDefault="000E45D6">
      <w:pPr>
        <w:spacing w:after="1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ANTECEDENTES</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Proyecto de Acuerdo Nº 161 de 2025 registra como antecedente el Proyecto  de Acuerdo Nº 674 de 2024 según los informes anuales titulados “</w:t>
      </w:r>
      <w:r>
        <w:rPr>
          <w:rFonts w:ascii="Times New Roman" w:eastAsia="Times New Roman" w:hAnsi="Times New Roman" w:cs="Times New Roman"/>
          <w:i/>
          <w:sz w:val="24"/>
          <w:szCs w:val="24"/>
        </w:rPr>
        <w:t>Relación de Proyectos de Acuerdo Comisiones 2024</w:t>
      </w:r>
      <w:r>
        <w:rPr>
          <w:rFonts w:ascii="Times New Roman" w:eastAsia="Times New Roman" w:hAnsi="Times New Roman" w:cs="Times New Roman"/>
          <w:sz w:val="24"/>
          <w:szCs w:val="24"/>
        </w:rPr>
        <w:t>”, en la intranet del Concejo de Bogotá.</w:t>
      </w:r>
    </w:p>
    <w:p w:rsidR="00FF4427" w:rsidRDefault="00FF4427">
      <w:pPr>
        <w:jc w:val="both"/>
        <w:rPr>
          <w:rFonts w:ascii="Times New Roman" w:eastAsia="Times New Roman" w:hAnsi="Times New Roman" w:cs="Times New Roman"/>
          <w:sz w:val="24"/>
          <w:szCs w:val="24"/>
        </w:rPr>
      </w:pPr>
    </w:p>
    <w:p w:rsidR="00FF4427" w:rsidRDefault="000E45D6">
      <w:pPr>
        <w:spacing w:after="1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JUSTIFICACIÓN DEL PROYECTO</w:t>
      </w:r>
    </w:p>
    <w:p w:rsidR="00FF4427" w:rsidRDefault="000E45D6">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Los autores del proyecto en la justificación y análisis de conveniencia de la iniciativa establecen los siguientes argumentos que resumimos de la siguiente manera:</w:t>
      </w:r>
    </w:p>
    <w:p w:rsidR="00FF4427" w:rsidRDefault="00FF4427">
      <w:pPr>
        <w:spacing w:after="160" w:line="259" w:lineRule="auto"/>
        <w:ind w:left="720"/>
        <w:jc w:val="both"/>
        <w:rPr>
          <w:rFonts w:ascii="Times New Roman" w:eastAsia="Times New Roman" w:hAnsi="Times New Roman" w:cs="Times New Roman"/>
          <w:b/>
          <w:sz w:val="24"/>
          <w:szCs w:val="24"/>
        </w:rPr>
      </w:pPr>
    </w:p>
    <w:p w:rsidR="00FF4427" w:rsidRDefault="000E45D6">
      <w:pPr>
        <w:ind w:left="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 Contexto histórico del régimen de propiedad horizontal. </w:t>
      </w:r>
    </w:p>
    <w:p w:rsidR="00FF4427" w:rsidRDefault="000E45D6">
      <w:pPr>
        <w:spacing w:before="240" w:after="24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Desde sus inicios, el régimen de propiedad horizontal nace con el fin de enfrentar la escasez de vivienda en 1948 a través del entendimiento de la propiedad de pisos y departamentos de un mismo edificio. La Ley 182 de 1948, introduce la noción sobre cómo abordar los bienes comunes y el reglamento de la copropiedad, conceptos que dependen la gestión de la seguridad y tranquilidad de los copropietarios. El artículo 7 de dicha Ley establece que la copropiedad funciona como un instrumento obligatorio que reglamenta el uso adecuado de cada unidad privada como las áreas comunes y por ende prohíbe acciones que generen perturbaciones a la seguridad de quienes allí habitan y del inmueble. Dicha Ley se actualiza con la Ley 16 de 1985 añadiendo la concepción de la propiedad horizontal como un tipo de dominio en el que ciertas partes del inmueble son de propiedad exclusiva de los propietarios individuales, mientras que las áreas comunes están sujetas a la propiedad de una persona jurídica creada por la ley para administrar estos espacios comunes. Además, establece que los bienes comunes son indivisibles e inenajenables, pero sí cuatro quintas partes de la asamblea general los considera innecesarios para el uso común, pueden ser desvinculados. Asimismo, la ley enfatizaba la importancia de definir sanciones para las conductas que afecten la convivencia y seguridad dentro de las propiedades.</w:t>
      </w:r>
    </w:p>
    <w:p w:rsidR="00FF4427" w:rsidRDefault="000E45D6">
      <w:pPr>
        <w:spacing w:before="240" w:after="240"/>
        <w:ind w:left="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Actualmente, la Ley 675 de 2001 consolida el régimen de propiedad horizontal en Colombia, unificando su regulación y estableciendo un modelo que combina la propiedad privada de bienes exclusivos con la copropiedad de áreas comunes. La norma define un marco jurídico especial para garantizar seguridad y convivencia en estos inmuebles. Actualmente, está en proceso de actualización mediante el proyecto de Ley 397 de 2024, que introduce, entre otros cambios, la obligatoriedad de un protocolo para atender casos de violencia intrafamiliar en las copropiedades. </w:t>
      </w:r>
    </w:p>
    <w:p w:rsidR="00FF4427" w:rsidRDefault="00FF4427">
      <w:pPr>
        <w:ind w:left="720"/>
        <w:jc w:val="both"/>
        <w:rPr>
          <w:rFonts w:ascii="Times New Roman" w:eastAsia="Times New Roman" w:hAnsi="Times New Roman" w:cs="Times New Roman"/>
          <w:sz w:val="24"/>
          <w:szCs w:val="24"/>
        </w:rPr>
      </w:pPr>
    </w:p>
    <w:p w:rsidR="00FF4427" w:rsidRDefault="000E45D6">
      <w:pPr>
        <w:ind w:left="72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ii. </w:t>
      </w:r>
      <w:r>
        <w:rPr>
          <w:rFonts w:ascii="Times New Roman" w:eastAsia="Times New Roman" w:hAnsi="Times New Roman" w:cs="Times New Roman"/>
          <w:b/>
          <w:sz w:val="24"/>
          <w:szCs w:val="24"/>
        </w:rPr>
        <w:t xml:space="preserve">Seguridad en copropiedades sujetas al régimen de propiedad Horizontal </w:t>
      </w:r>
    </w:p>
    <w:p w:rsidR="00FF4427" w:rsidRDefault="000E45D6">
      <w:pPr>
        <w:spacing w:before="240" w:after="24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 acuerdo con el Instituto Distrital de la Participación y de la Acción comunal, actualmente la ciudad de Bogotá D.C., cuenta con 14.063 copropiedades sujetas al régimen de propiedad horizontal; esta cifra va en aumento incluso en barrios donde no había sido común. Ahora bien, para que exista un verdadero efecto positivo en la adopción del régimen de propiedad horizontal es necesario abordar el aumento considerable en la densidad de vivienda en propiedad horizontal y los desafíos en términos de seguridad y convivencia que conlleva. Por ejemplo, según cifras de la Policía Nacional en Bogotá para el año 2024 se han presentado más de 192 casos de hurto a residencia en propiedades horizontales, siendo la modalidad más frecuente usada en este delito es el uso de llave maestra. </w:t>
      </w:r>
    </w:p>
    <w:p w:rsidR="00FF4427" w:rsidRDefault="000E45D6">
      <w:pPr>
        <w:spacing w:before="240" w:after="24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Sumado a ello se encuentra el gran aumento de los casos de violencia intrafamiliar. Del año 2023 a 2024 el aumento de estos casos fue de 114%, lo cual refleja la falta de herramientas de prevención y atención dispuestas por las autoridades. Asimismo, a pesar de que la Secretaría Distrital de Seguridad, Convivencia y Justicia cuenta con 5.828 cámaras de videovigilancia en Bogotá; no obstante, siendo un sistema clave para la seguridad y el control policial, muchas se encuentran por fuera de servicio por daños y falta de reparación e incluso no tienen un sistema eficiente para garantizar un vigilancia exitosa. </w:t>
      </w:r>
    </w:p>
    <w:p w:rsidR="00FF4427" w:rsidRDefault="000E45D6">
      <w:pPr>
        <w:ind w:left="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iii. Necesidad del proyecto </w:t>
      </w:r>
    </w:p>
    <w:p w:rsidR="00FF4427" w:rsidRDefault="000E45D6">
      <w:pPr>
        <w:spacing w:before="240" w:after="24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Dado que la Ley 675 de 2001 no contempla los múltiples escenarios delictivos y sus crecientes cifras en las copropiedades sujetas al régimen de propiedad horizontal se hace indispensable la implementación de estrategias articuladas entre administradores, residentes, autoridades y la interoperabilidad de Sistemas de Videovigilancia en Conjuntos Residenciales al interior de las copropiedades sobre todo para la integridad de sus habitantes. Por ende, la Administración distrital, en específico el Instituto Distrital para la Participación y la Acción Comunal (IDPAC) y la Secretaría Distrital de Seguridad Convivencia y Justicia de acuerdo con su respectiva misionalidad, serán las entidades responsables de la implementación del proyecto. De igual manera para mejorar la vigilancia, se propone integrar las cámaras de conjuntos residenciales al Centro de Comando y Control (C4). Esto ampliaría la cobertura, fortalecería la confianza ciudadana y facilitaría una respuesta más efectiva de las autoridades ante incidentes de seguridad.</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 igual manera los autores establecen que el proyecto de acuerdo 161 de 2025 se encuentra en pro del cumplimiento del Objetivo de Desarrollo Sostenible 16 que busca promover sociedades pacíficas e inclusivas además de facilitar el acceso a instituciones e instancias de justicia para dar respuestas más eficientes y oportunas. En este sentido el fortalecimiento de las herramientas para la participación comunitaria junto con las autoridades, sumado a los instrumentos de vigilancia como la reparación de cámaras, promueve la construcción de una gobernanza más robusta y una sociedad más justa. </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la misma línea, los autores señalan la estrecha relación entre el Artículo 24 del Acuerdo 927 de 2024, por medio del cual se adopta el plan de desarrollo económico, social, ambiental y de obras públicas del distrito capital 2024-2027 “Bogotá Camina Segura” y la presente propuesta de acuerdo, en cuanto el Artículo 24 decreta la destinación de recursos para el mejoramiento y mantenimiento de instrumentos de vigilancia y lucha contra la criminalidad; además dispone el fortalecimiento del modelo integrado de gestión de la convivencia y seguridad en los territorios y la creación de redes comunitarias de seguridad, estrategias que propone también el presente proyecto de acuerdo. </w:t>
      </w:r>
    </w:p>
    <w:p w:rsidR="00FF4427" w:rsidRDefault="000E45D6">
      <w:pPr>
        <w:spacing w:before="240" w:after="24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Es de gran importancia resaltar que los autores realizaron diferentes eventos de participación ciudadana que constituyen un insumo necesario para comprender con mayor realidad la problemática y las necesidades de los ciudadanos que residen en propiedad horizontal. A partir de este ejercicio, se encuentra que la seguridad es un factor cada vez más crítico en cuanto la respuesta de los cuadrantes policiales ante los hechos de criminalidad, inseguridad y faltas de convivencia.  </w:t>
      </w:r>
    </w:p>
    <w:p w:rsidR="00FF4427" w:rsidRDefault="000E45D6">
      <w:pPr>
        <w:spacing w:after="1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IV. FUNDAMENTO NORMATIVO</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autores de la iniciativa referencian de forma extensa las normas jurídicas que sustentan el Proyecto de Acuerdo de la siguiente manera: </w:t>
      </w:r>
    </w:p>
    <w:p w:rsidR="00FF4427" w:rsidRDefault="00FF4427">
      <w:pPr>
        <w:jc w:val="both"/>
        <w:rPr>
          <w:rFonts w:ascii="Times New Roman" w:eastAsia="Times New Roman" w:hAnsi="Times New Roman" w:cs="Times New Roman"/>
          <w:sz w:val="24"/>
          <w:szCs w:val="24"/>
        </w:rPr>
      </w:pPr>
    </w:p>
    <w:p w:rsidR="00FF4427" w:rsidRDefault="000E45D6">
      <w:pPr>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Del orden Constitucional: </w:t>
      </w:r>
    </w:p>
    <w:p w:rsidR="00FF4427" w:rsidRDefault="00FF4427">
      <w:pPr>
        <w:ind w:firstLine="720"/>
        <w:jc w:val="both"/>
        <w:rPr>
          <w:rFonts w:ascii="Times New Roman" w:eastAsia="Times New Roman" w:hAnsi="Times New Roman" w:cs="Times New Roman"/>
          <w:b/>
          <w:sz w:val="24"/>
          <w:szCs w:val="24"/>
        </w:rPr>
      </w:pPr>
    </w:p>
    <w:p w:rsidR="00FF4427" w:rsidRDefault="000E45D6">
      <w:pPr>
        <w:numPr>
          <w:ilvl w:val="0"/>
          <w:numId w:val="7"/>
        </w:numPr>
        <w:jc w:val="both"/>
        <w:rPr>
          <w:sz w:val="24"/>
          <w:szCs w:val="24"/>
        </w:rPr>
      </w:pPr>
      <w:r>
        <w:rPr>
          <w:rFonts w:ascii="Times New Roman" w:eastAsia="Times New Roman" w:hAnsi="Times New Roman" w:cs="Times New Roman"/>
          <w:sz w:val="24"/>
          <w:szCs w:val="24"/>
        </w:rPr>
        <w:t xml:space="preserve">Artículo 2: Constitución Política de Colombia: Son fines esenciales del Estado: servir a la comunidad, promover la prosperidad general y garantizar la efectividad de los principios, derechos y deberes consagrados en la Constitución; facilitar la participación de todos en las decisiones que los afectan y en la vida económica, </w:t>
      </w:r>
      <w:r>
        <w:rPr>
          <w:rFonts w:ascii="Times New Roman" w:eastAsia="Times New Roman" w:hAnsi="Times New Roman" w:cs="Times New Roman"/>
          <w:sz w:val="24"/>
          <w:szCs w:val="24"/>
        </w:rPr>
        <w:lastRenderedPageBreak/>
        <w:t xml:space="preserve">política, administrativa y cultural de la Nación; defender la independencia nacional, mantener la integridad territorial y </w:t>
      </w:r>
      <w:r>
        <w:rPr>
          <w:rFonts w:ascii="Times New Roman" w:eastAsia="Times New Roman" w:hAnsi="Times New Roman" w:cs="Times New Roman"/>
          <w:b/>
          <w:sz w:val="24"/>
          <w:szCs w:val="24"/>
          <w:u w:val="single"/>
        </w:rPr>
        <w:t>asegurar la convivencia pacífica</w:t>
      </w:r>
      <w:r>
        <w:rPr>
          <w:rFonts w:ascii="Times New Roman" w:eastAsia="Times New Roman" w:hAnsi="Times New Roman" w:cs="Times New Roman"/>
          <w:sz w:val="24"/>
          <w:szCs w:val="24"/>
        </w:rPr>
        <w:t xml:space="preserve"> y la vigencia de un orden justo.</w:t>
      </w:r>
    </w:p>
    <w:p w:rsidR="00FF4427" w:rsidRDefault="000E45D6">
      <w:pPr>
        <w:numPr>
          <w:ilvl w:val="0"/>
          <w:numId w:val="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Artículo 11: Constitución Política de Colombia: El Derecho a la vida es inviolable.</w:t>
      </w:r>
    </w:p>
    <w:p w:rsidR="00FF4427" w:rsidRDefault="000E45D6">
      <w:pPr>
        <w:numPr>
          <w:ilvl w:val="0"/>
          <w:numId w:val="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Artículo 22: Constitución Política de Colombia: La paz es un derecho y un deber de obligatorio cumplimiento.</w:t>
      </w:r>
    </w:p>
    <w:p w:rsidR="00FF4427" w:rsidRDefault="00FF4427">
      <w:pPr>
        <w:ind w:left="720"/>
        <w:jc w:val="both"/>
        <w:rPr>
          <w:rFonts w:ascii="Times New Roman" w:eastAsia="Times New Roman" w:hAnsi="Times New Roman" w:cs="Times New Roman"/>
          <w:sz w:val="24"/>
          <w:szCs w:val="24"/>
        </w:rPr>
      </w:pPr>
    </w:p>
    <w:p w:rsidR="00FF4427" w:rsidRDefault="000E45D6">
      <w:pPr>
        <w:numPr>
          <w:ilvl w:val="0"/>
          <w:numId w:val="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Artículo 23: Constitución Política de Colombia: Toda persona tiene derecho a presentar peticiones respetuosas a las autoridades por motivos de interés general o particular y a obtener pronta resolución.</w:t>
      </w:r>
    </w:p>
    <w:p w:rsidR="00FF4427" w:rsidRDefault="00FF4427">
      <w:pPr>
        <w:ind w:left="720"/>
        <w:jc w:val="both"/>
        <w:rPr>
          <w:rFonts w:ascii="Times New Roman" w:eastAsia="Times New Roman" w:hAnsi="Times New Roman" w:cs="Times New Roman"/>
          <w:sz w:val="24"/>
          <w:szCs w:val="24"/>
        </w:rPr>
      </w:pPr>
    </w:p>
    <w:p w:rsidR="00FF4427" w:rsidRDefault="000E45D6">
      <w:pPr>
        <w:numPr>
          <w:ilvl w:val="0"/>
          <w:numId w:val="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Artículo 42: La familia es el núcleo fundamental de la sociedad (...) El Estado y la sociedad garantizan la protección integral de la familia (...) Cualquier forma de violencia en la familia se considera destructiva de su armonía y unidad, y será sancionada conforme a la ley.</w:t>
      </w:r>
    </w:p>
    <w:p w:rsidR="00FF4427" w:rsidRDefault="00FF4427">
      <w:pPr>
        <w:ind w:left="720"/>
        <w:jc w:val="both"/>
        <w:rPr>
          <w:rFonts w:ascii="Times New Roman" w:eastAsia="Times New Roman" w:hAnsi="Times New Roman" w:cs="Times New Roman"/>
          <w:sz w:val="24"/>
          <w:szCs w:val="24"/>
        </w:rPr>
      </w:pPr>
    </w:p>
    <w:p w:rsidR="00FF4427" w:rsidRDefault="000E45D6">
      <w:pPr>
        <w:numPr>
          <w:ilvl w:val="0"/>
          <w:numId w:val="6"/>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Artículo 58 – Constitución Política de Colombia: garantizará la propiedad privada y los demás derechos adquiridos con arreglo a las leyes civiles, los cuales no pueden ser desconocidos ni vulnerados por leyes posteriores. </w:t>
      </w:r>
    </w:p>
    <w:p w:rsidR="00FF4427" w:rsidRDefault="00FF4427">
      <w:pPr>
        <w:jc w:val="both"/>
        <w:rPr>
          <w:rFonts w:ascii="Times New Roman" w:eastAsia="Times New Roman" w:hAnsi="Times New Roman" w:cs="Times New Roman"/>
          <w:sz w:val="24"/>
          <w:szCs w:val="24"/>
        </w:rPr>
      </w:pPr>
    </w:p>
    <w:p w:rsidR="00FF4427" w:rsidRDefault="000E45D6">
      <w:pPr>
        <w:ind w:left="720" w:firstLine="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Bloque de constitucionalidad: </w:t>
      </w:r>
    </w:p>
    <w:p w:rsidR="00FF4427" w:rsidRDefault="00FF4427">
      <w:pPr>
        <w:ind w:firstLine="360"/>
        <w:jc w:val="both"/>
        <w:rPr>
          <w:rFonts w:ascii="Times New Roman" w:eastAsia="Times New Roman" w:hAnsi="Times New Roman" w:cs="Times New Roman"/>
          <w:b/>
          <w:sz w:val="24"/>
          <w:szCs w:val="24"/>
        </w:rPr>
      </w:pPr>
    </w:p>
    <w:p w:rsidR="00FF4427" w:rsidRDefault="000E45D6">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Declaración Universal de los Derechos Humanos y la Declaración Americana de los Derechos y Deberes del Hombre considera que </w:t>
      </w:r>
      <w:r>
        <w:rPr>
          <w:rFonts w:ascii="Times New Roman" w:eastAsia="Times New Roman" w:hAnsi="Times New Roman" w:cs="Times New Roman"/>
          <w:i/>
          <w:sz w:val="24"/>
          <w:szCs w:val="24"/>
        </w:rPr>
        <w:t>“Todos los hombres nacen libres e iguales en dignidad y derechos y, dotados como están por naturaleza de razón y conciencia, deben conducirse fraternalmente los unos con los otros (…) Todo individuo tiene Derecho a la vida, a la libertad y la seguridad de su persona”.</w:t>
      </w:r>
    </w:p>
    <w:p w:rsidR="00FF4427" w:rsidRDefault="00FF4427">
      <w:pPr>
        <w:jc w:val="both"/>
        <w:rPr>
          <w:rFonts w:ascii="Times New Roman" w:eastAsia="Times New Roman" w:hAnsi="Times New Roman" w:cs="Times New Roman"/>
          <w:i/>
          <w:sz w:val="24"/>
          <w:szCs w:val="24"/>
        </w:rPr>
      </w:pPr>
    </w:p>
    <w:p w:rsidR="00FF4427" w:rsidRDefault="000E45D6">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Convención Americana de Derechos Humanos - Pacto de San José – Artículo 22. </w:t>
      </w:r>
      <w:r>
        <w:rPr>
          <w:rFonts w:ascii="Times New Roman" w:eastAsia="Times New Roman" w:hAnsi="Times New Roman" w:cs="Times New Roman"/>
          <w:i/>
          <w:sz w:val="24"/>
          <w:szCs w:val="24"/>
        </w:rPr>
        <w:t xml:space="preserve">Derecho de Circulación y de Residencia 1. Toda persona que se halle legalmente en el territorio de un Estado tiene derecho a circular por el mismo y, a residir en él con sujeción a las disposiciones legales. 2. Toda persona tiene derecho a salir libremente de cualquier país, inclusive del propio. 3. El ejercicio de los derechos anteriores no puede ser restringido sino en virtud de una ley, en la medida indispensable en una </w:t>
      </w:r>
      <w:r>
        <w:rPr>
          <w:rFonts w:ascii="Times New Roman" w:eastAsia="Times New Roman" w:hAnsi="Times New Roman" w:cs="Times New Roman"/>
          <w:i/>
          <w:sz w:val="24"/>
          <w:szCs w:val="24"/>
        </w:rPr>
        <w:lastRenderedPageBreak/>
        <w:t>sociedad democrática, para prevenir infracciones penales o para proteger la seguridad nacional, la seguridad o el orden públicos, la moral o la salud públicas o los derechos y libertades de los demás</w:t>
      </w:r>
    </w:p>
    <w:p w:rsidR="00FF4427" w:rsidRDefault="00FF4427">
      <w:pPr>
        <w:ind w:left="720"/>
        <w:jc w:val="both"/>
        <w:rPr>
          <w:rFonts w:ascii="Times New Roman" w:eastAsia="Times New Roman" w:hAnsi="Times New Roman" w:cs="Times New Roman"/>
          <w:sz w:val="24"/>
          <w:szCs w:val="24"/>
        </w:rPr>
      </w:pPr>
    </w:p>
    <w:p w:rsidR="00FF4427" w:rsidRDefault="000E45D6">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Que la Convención Interamericana para Prevenir, Sancionar y Erradicar la Violencia contra la Mujer “Convención de Belem do Para” indica que </w:t>
      </w:r>
      <w:r>
        <w:rPr>
          <w:rFonts w:ascii="Times New Roman" w:eastAsia="Times New Roman" w:hAnsi="Times New Roman" w:cs="Times New Roman"/>
          <w:i/>
          <w:sz w:val="24"/>
          <w:szCs w:val="24"/>
        </w:rPr>
        <w:t>“toda mujer tiene derecho a una vida libre de violencia, tanto en el ámbito público como en el privado (…) toda mujer podrá ejercer libre y plenamente sus derechos civiles, políticos, económicos, sociales, culturales, y contará con total protección de esos derechos consagrados en los instrumentos regionales e internacionales sobre derechos humanos. Los estados partes reconocen que la violencia contra la mujer impide y anula el ejercicio contra sus derechos”</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De orden Nacional: </w:t>
      </w:r>
    </w:p>
    <w:p w:rsidR="00FF4427" w:rsidRDefault="00FF4427">
      <w:pPr>
        <w:jc w:val="both"/>
        <w:rPr>
          <w:rFonts w:ascii="Times New Roman" w:eastAsia="Times New Roman" w:hAnsi="Times New Roman" w:cs="Times New Roman"/>
          <w:sz w:val="24"/>
          <w:szCs w:val="24"/>
        </w:rPr>
      </w:pPr>
    </w:p>
    <w:p w:rsidR="00FF4427" w:rsidRDefault="000E45D6">
      <w:pPr>
        <w:numPr>
          <w:ilvl w:val="0"/>
          <w:numId w:val="2"/>
        </w:numPr>
        <w:spacing w:after="28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Ley 062 de 1993: </w:t>
      </w:r>
    </w:p>
    <w:p w:rsidR="00FF4427" w:rsidRDefault="000E45D6">
      <w:pPr>
        <w:spacing w:after="280"/>
        <w:ind w:left="1080"/>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 xml:space="preserve">ARTÍCULO 4°. Inmediatez. </w:t>
      </w:r>
      <w:r>
        <w:rPr>
          <w:rFonts w:ascii="Times New Roman" w:eastAsia="Times New Roman" w:hAnsi="Times New Roman" w:cs="Times New Roman"/>
          <w:i/>
          <w:sz w:val="24"/>
          <w:szCs w:val="24"/>
        </w:rPr>
        <w:t>Toda persona tiene derecho a recibir inmediata protección contra cualquier manifestación delictiva u contravencional y el deber de cooperar con las autoridades.</w:t>
      </w:r>
    </w:p>
    <w:p w:rsidR="00FF4427" w:rsidRDefault="000E45D6">
      <w:pPr>
        <w:numPr>
          <w:ilvl w:val="0"/>
          <w:numId w:val="1"/>
        </w:numPr>
        <w:spacing w:after="28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Ley 675 de 2001: </w:t>
      </w:r>
    </w:p>
    <w:p w:rsidR="00FF4427" w:rsidRDefault="000E45D6">
      <w:pPr>
        <w:ind w:left="108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Artículo 1. Objeto.</w:t>
      </w:r>
      <w:r>
        <w:rPr>
          <w:rFonts w:ascii="Times New Roman" w:eastAsia="Times New Roman" w:hAnsi="Times New Roman" w:cs="Times New Roman"/>
          <w:i/>
          <w:sz w:val="24"/>
          <w:szCs w:val="24"/>
        </w:rPr>
        <w:t xml:space="preserve"> La presente ley regula la forma especial de dominio, denominada propiedad horizontal, en la que concurren derechos de propiedad exclusiva sobre bienes privados y derechos de copropiedad sobre el terreno y los demás bienes comunes, con el fin de garantizar la seguridad y la convivencia pacífica en los inmuebles sometidos a ella, así como la función social de la propiedad</w:t>
      </w:r>
      <w:r>
        <w:rPr>
          <w:rFonts w:ascii="Times New Roman" w:eastAsia="Times New Roman" w:hAnsi="Times New Roman" w:cs="Times New Roman"/>
          <w:b/>
          <w:i/>
          <w:sz w:val="24"/>
          <w:szCs w:val="24"/>
        </w:rPr>
        <w:t>.</w:t>
      </w:r>
    </w:p>
    <w:p w:rsidR="00FF4427" w:rsidRDefault="00FF4427">
      <w:pPr>
        <w:jc w:val="both"/>
        <w:rPr>
          <w:rFonts w:ascii="Times New Roman" w:eastAsia="Times New Roman" w:hAnsi="Times New Roman" w:cs="Times New Roman"/>
          <w:b/>
          <w:i/>
          <w:sz w:val="24"/>
          <w:szCs w:val="24"/>
        </w:rPr>
      </w:pPr>
    </w:p>
    <w:p w:rsidR="00FF4427" w:rsidRDefault="000E45D6">
      <w:pPr>
        <w:numPr>
          <w:ilvl w:val="0"/>
          <w:numId w:val="5"/>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Ley 1801 de 2016:</w:t>
      </w:r>
    </w:p>
    <w:p w:rsidR="00FF4427" w:rsidRDefault="00FF4427">
      <w:pPr>
        <w:ind w:left="720"/>
        <w:jc w:val="both"/>
        <w:rPr>
          <w:rFonts w:ascii="Times New Roman" w:eastAsia="Times New Roman" w:hAnsi="Times New Roman" w:cs="Times New Roman"/>
          <w:b/>
          <w:sz w:val="24"/>
          <w:szCs w:val="24"/>
        </w:rPr>
      </w:pPr>
    </w:p>
    <w:p w:rsidR="00FF4427" w:rsidRDefault="000E45D6">
      <w:pPr>
        <w:ind w:left="1080"/>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 xml:space="preserve">Artículo 1. Objeto. </w:t>
      </w:r>
      <w:r>
        <w:rPr>
          <w:rFonts w:ascii="Times New Roman" w:eastAsia="Times New Roman" w:hAnsi="Times New Roman" w:cs="Times New Roman"/>
          <w:i/>
          <w:sz w:val="24"/>
          <w:szCs w:val="24"/>
        </w:rPr>
        <w:t xml:space="preserve">Las disposiciones previstas en este Código son de carácter preventivo y buscan establecer las condiciones para la convivencia en el territorio nacional al propiciar el cumplimiento de los deberes y obligaciones de </w:t>
      </w:r>
      <w:r>
        <w:rPr>
          <w:rFonts w:ascii="Times New Roman" w:eastAsia="Times New Roman" w:hAnsi="Times New Roman" w:cs="Times New Roman"/>
          <w:i/>
          <w:sz w:val="24"/>
          <w:szCs w:val="24"/>
        </w:rPr>
        <w:lastRenderedPageBreak/>
        <w:t>las personas naturales y jurídicas, así como determinar el ejercicio del poder, la función y la actividad de Policía, de conformidad con la Constitución Política y el ordenamiento jurídico vigente.</w:t>
      </w:r>
    </w:p>
    <w:p w:rsidR="00FF4427" w:rsidRDefault="00FF4427">
      <w:pPr>
        <w:jc w:val="both"/>
        <w:rPr>
          <w:rFonts w:ascii="Times New Roman" w:eastAsia="Times New Roman" w:hAnsi="Times New Roman" w:cs="Times New Roman"/>
          <w:i/>
          <w:sz w:val="24"/>
          <w:szCs w:val="24"/>
        </w:rPr>
      </w:pPr>
    </w:p>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Del orden Distrital: </w:t>
      </w:r>
    </w:p>
    <w:p w:rsidR="00FF4427" w:rsidRDefault="00FF4427">
      <w:pPr>
        <w:jc w:val="both"/>
        <w:rPr>
          <w:rFonts w:ascii="Times New Roman" w:eastAsia="Times New Roman" w:hAnsi="Times New Roman" w:cs="Times New Roman"/>
          <w:b/>
          <w:sz w:val="24"/>
          <w:szCs w:val="24"/>
        </w:rPr>
      </w:pPr>
    </w:p>
    <w:p w:rsidR="00FF4427" w:rsidRDefault="000E45D6">
      <w:pPr>
        <w:numPr>
          <w:ilvl w:val="0"/>
          <w:numId w:val="3"/>
        </w:numPr>
        <w:jc w:val="both"/>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rPr>
        <w:t xml:space="preserve">Acuerdo 652 de 2016: Por medio del cual se crea El Consejo Distrital de Propiedad Horizontal. </w:t>
      </w:r>
    </w:p>
    <w:p w:rsidR="00FF4427" w:rsidRDefault="00FF4427">
      <w:pPr>
        <w:ind w:left="1080"/>
        <w:jc w:val="both"/>
        <w:rPr>
          <w:rFonts w:ascii="Times New Roman" w:eastAsia="Times New Roman" w:hAnsi="Times New Roman" w:cs="Times New Roman"/>
          <w:sz w:val="24"/>
          <w:szCs w:val="24"/>
        </w:rPr>
      </w:pPr>
      <w:bookmarkStart w:id="2" w:name="_jklx7erbco4t" w:colFirst="0" w:colLast="0"/>
      <w:bookmarkEnd w:id="2"/>
    </w:p>
    <w:p w:rsidR="00FF4427" w:rsidRDefault="000E45D6">
      <w:pPr>
        <w:ind w:left="1080"/>
        <w:jc w:val="both"/>
        <w:rPr>
          <w:rFonts w:ascii="Times New Roman" w:eastAsia="Times New Roman" w:hAnsi="Times New Roman" w:cs="Times New Roman"/>
          <w:i/>
          <w:sz w:val="24"/>
          <w:szCs w:val="24"/>
        </w:rPr>
      </w:pPr>
      <w:bookmarkStart w:id="3" w:name="_1t8b9twvcz7" w:colFirst="0" w:colLast="0"/>
      <w:bookmarkEnd w:id="3"/>
      <w:r>
        <w:rPr>
          <w:rFonts w:ascii="Times New Roman" w:eastAsia="Times New Roman" w:hAnsi="Times New Roman" w:cs="Times New Roman"/>
          <w:b/>
          <w:i/>
          <w:sz w:val="24"/>
          <w:szCs w:val="24"/>
        </w:rPr>
        <w:t>Artículo 1.</w:t>
      </w:r>
      <w:r>
        <w:rPr>
          <w:rFonts w:ascii="Times New Roman" w:eastAsia="Times New Roman" w:hAnsi="Times New Roman" w:cs="Times New Roman"/>
          <w:i/>
          <w:sz w:val="24"/>
          <w:szCs w:val="24"/>
        </w:rPr>
        <w:t xml:space="preserve"> Créase el Consejo Distrital de Propiedad Horizontal como ente consultivo y asesor de la Administración Distrital en las políticas, planes de desarrollo, proyectos e iniciativas, que involucren los temas concernientes a las comunidades vinculadas con la propiedad horizontal del Distrito Capital. Adicionalmente, se podrá articular con sistemas, entidades u organismos nacionales, que implementen acciones para la protección, educación y desarrollo de la Propiedad Horizontal, y con las demás instancias y sistemas de participación Distrital.</w:t>
      </w:r>
    </w:p>
    <w:p w:rsidR="00FF4427" w:rsidRDefault="00FF4427">
      <w:pPr>
        <w:ind w:left="1080"/>
        <w:jc w:val="both"/>
        <w:rPr>
          <w:rFonts w:ascii="Times New Roman" w:eastAsia="Times New Roman" w:hAnsi="Times New Roman" w:cs="Times New Roman"/>
          <w:i/>
          <w:sz w:val="24"/>
          <w:szCs w:val="24"/>
        </w:rPr>
      </w:pPr>
      <w:bookmarkStart w:id="4" w:name="_gzs5dblvc8mv" w:colFirst="0" w:colLast="0"/>
      <w:bookmarkEnd w:id="4"/>
    </w:p>
    <w:p w:rsidR="00FF4427" w:rsidRDefault="00FF4427">
      <w:pPr>
        <w:ind w:left="1080"/>
        <w:jc w:val="both"/>
        <w:rPr>
          <w:rFonts w:ascii="Times New Roman" w:eastAsia="Times New Roman" w:hAnsi="Times New Roman" w:cs="Times New Roman"/>
          <w:i/>
          <w:sz w:val="24"/>
          <w:szCs w:val="24"/>
        </w:rPr>
      </w:pPr>
      <w:bookmarkStart w:id="5" w:name="_giuo0q1xvh75" w:colFirst="0" w:colLast="0"/>
      <w:bookmarkEnd w:id="5"/>
    </w:p>
    <w:p w:rsidR="00FF4427" w:rsidRDefault="000E45D6">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 COMPETENCIA DEL CONCEJO DE BOGOTÁ D.C.</w:t>
      </w:r>
    </w:p>
    <w:p w:rsidR="00FF4427" w:rsidRDefault="000E45D6">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autores del Proyecto de Acuerdo exponen que el Concejo de Bogotá D.C. sí tiene competencia para tramitar la presente iniciativa por los siguientes motivos:</w:t>
      </w:r>
    </w:p>
    <w:p w:rsidR="00FF4427" w:rsidRDefault="00FF4427">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Concejo de Bogotá es competente para estudiar y aprobar o improbar el presente proyecto de acuerdo en virtud de lo establecido en el artículo 12 del Decreto ley 1421 de 1993, principalmente en el numeral 1º del artículo 12: </w:t>
      </w:r>
    </w:p>
    <w:p w:rsidR="00FF4427" w:rsidRDefault="00FF4427">
      <w:pPr>
        <w:jc w:val="both"/>
        <w:rPr>
          <w:rFonts w:ascii="Times New Roman" w:eastAsia="Times New Roman" w:hAnsi="Times New Roman" w:cs="Times New Roman"/>
          <w:sz w:val="24"/>
          <w:szCs w:val="24"/>
        </w:rPr>
      </w:pPr>
    </w:p>
    <w:p w:rsidR="00FF4427" w:rsidRDefault="000E45D6">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DECRETO LEY 1421 de 1993 “Estatuto Orgánico de Bogotá”.</w:t>
      </w:r>
    </w:p>
    <w:p w:rsidR="00FF4427" w:rsidRDefault="00FF4427">
      <w:pPr>
        <w:ind w:firstLine="708"/>
        <w:jc w:val="both"/>
        <w:rPr>
          <w:rFonts w:ascii="Times New Roman" w:eastAsia="Times New Roman" w:hAnsi="Times New Roman" w:cs="Times New Roman"/>
          <w:b/>
          <w:sz w:val="24"/>
          <w:szCs w:val="24"/>
        </w:rPr>
      </w:pPr>
    </w:p>
    <w:p w:rsidR="00FF4427" w:rsidRDefault="000E45D6">
      <w:pPr>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12. Atribuciones.</w:t>
      </w:r>
      <w:r>
        <w:rPr>
          <w:rFonts w:ascii="Times New Roman" w:eastAsia="Times New Roman" w:hAnsi="Times New Roman" w:cs="Times New Roman"/>
          <w:i/>
          <w:sz w:val="24"/>
          <w:szCs w:val="24"/>
        </w:rPr>
        <w:t xml:space="preserve"> Corresponde al Concejo Distrital, de conformidad con la Constitución y a la ley: </w:t>
      </w:r>
    </w:p>
    <w:p w:rsidR="00FF4427" w:rsidRDefault="00FF4427">
      <w:pPr>
        <w:jc w:val="both"/>
        <w:rPr>
          <w:rFonts w:ascii="Times New Roman" w:eastAsia="Times New Roman" w:hAnsi="Times New Roman" w:cs="Times New Roman"/>
          <w:i/>
          <w:sz w:val="24"/>
          <w:szCs w:val="24"/>
        </w:rPr>
      </w:pPr>
    </w:p>
    <w:p w:rsidR="00FF4427" w:rsidRDefault="000E45D6">
      <w:pPr>
        <w:ind w:firstLine="708"/>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1.Dictar las normas necesarias para garantizar el adecuado cumplimiento de las funciones y la eficiente prestación de los servicios a cargo del Distrito.”</w:t>
      </w:r>
    </w:p>
    <w:p w:rsidR="00FF4427" w:rsidRDefault="00FF4427">
      <w:pPr>
        <w:ind w:firstLine="708"/>
        <w:jc w:val="both"/>
        <w:rPr>
          <w:rFonts w:ascii="Times New Roman" w:eastAsia="Times New Roman" w:hAnsi="Times New Roman" w:cs="Times New Roman"/>
          <w:i/>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 igual forma, el numeral 4 del artículo 38 del Decreto Ley 1421 de 1993 confiere al alcalde Mayor la atribución de “</w:t>
      </w:r>
      <w:r>
        <w:rPr>
          <w:rFonts w:ascii="Times New Roman" w:eastAsia="Times New Roman" w:hAnsi="Times New Roman" w:cs="Times New Roman"/>
          <w:i/>
          <w:sz w:val="24"/>
          <w:szCs w:val="24"/>
        </w:rPr>
        <w:t>Ejercer la potestad reglamentaria, expidiendo los decretos, órdenes y resoluciones necesarios para asegurar la debida ejecución de los acuerdos"</w:t>
      </w:r>
      <w:r>
        <w:rPr>
          <w:rFonts w:ascii="Times New Roman" w:eastAsia="Times New Roman" w:hAnsi="Times New Roman" w:cs="Times New Roman"/>
          <w:sz w:val="24"/>
          <w:szCs w:val="24"/>
        </w:rPr>
        <w:t>. De esta manera, el presente Proyecto de Acuerdo establece un marco general, dejando a cargo del gobierno distrital, en el ejercicio de su capacidad reglamentaria, desarrollar y poner en práctica lo dispuesto en esta iniciativa normativa.</w:t>
      </w:r>
    </w:p>
    <w:p w:rsidR="00FF4427" w:rsidRDefault="00FF4427">
      <w:pPr>
        <w:jc w:val="both"/>
        <w:rPr>
          <w:rFonts w:ascii="Times New Roman" w:eastAsia="Times New Roman" w:hAnsi="Times New Roman" w:cs="Times New Roman"/>
          <w:sz w:val="24"/>
          <w:szCs w:val="24"/>
        </w:rPr>
      </w:pPr>
    </w:p>
    <w:p w:rsidR="00FF4427" w:rsidRDefault="000E45D6">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VI. CONSIDERACIONES DE LOS PONENTES</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Conforme se resalta en la presente iniciativa, se considera importante avanzar en la implementaciòn de iniciativas en beneficio de la propiedad horizontal la cual crece de manera permanente en la ciudad, como indica el Censo inmobiliario de Bogotà 2024 “</w:t>
      </w:r>
      <w:r>
        <w:rPr>
          <w:rFonts w:ascii="Times New Roman" w:eastAsia="Times New Roman" w:hAnsi="Times New Roman" w:cs="Times New Roman"/>
          <w:i/>
          <w:sz w:val="24"/>
          <w:szCs w:val="24"/>
        </w:rPr>
        <w:t>Los predios en régimen de propiedad horizontal (PH) continúan incrementando su participación. Para la vigencia 2024, el 68,3% del total de predios se encuentran en propiedad horizontal, 0,5% más que la vigencia anterior</w:t>
      </w:r>
      <w:r>
        <w:rPr>
          <w:rFonts w:ascii="Times New Roman" w:eastAsia="Times New Roman" w:hAnsi="Times New Roman" w:cs="Times New Roman"/>
          <w:sz w:val="24"/>
          <w:szCs w:val="24"/>
        </w:rPr>
        <w:t>” (UAECD, 2024,pp5)</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xml:space="preserve"> </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La propiedad horizontal se ha consolidado como una solu</w:t>
      </w:r>
      <w:r>
        <w:rPr>
          <w:rFonts w:ascii="Times New Roman" w:eastAsia="Times New Roman" w:hAnsi="Times New Roman" w:cs="Times New Roman"/>
          <w:sz w:val="24"/>
          <w:szCs w:val="24"/>
        </w:rPr>
        <w:t>ción habitacional predominante en entornos urbanos a nivel mundial, nacional y distrital. Este modelo representa una respuesta efectiva a la creciente demanda de vivienda y a la necesidad de optimizar el uso del suelo (Ministerio de Vivienda, Ciudad y Territorio, 2020)</w:t>
      </w:r>
      <w:r>
        <w:rPr>
          <w:rFonts w:ascii="Times New Roman" w:eastAsia="Times New Roman" w:hAnsi="Times New Roman" w:cs="Times New Roman"/>
          <w:sz w:val="24"/>
          <w:szCs w:val="24"/>
          <w:vertAlign w:val="superscript"/>
        </w:rPr>
        <w:footnoteReference w:id="2"/>
      </w:r>
      <w:r>
        <w:rPr>
          <w:rFonts w:ascii="Times New Roman" w:eastAsia="Times New Roman" w:hAnsi="Times New Roman" w:cs="Times New Roman"/>
          <w:sz w:val="24"/>
          <w:szCs w:val="24"/>
        </w:rPr>
        <w:t>. Sin embargo, enfrenta importantes desafíos relacionados con la convivencia, la sostenibilidad y la gestión administrativa, que impactan directamente la calidad de vida de los residentes y el desarrollo de las comunidades.</w:t>
      </w:r>
    </w:p>
    <w:p w:rsidR="00FF4427" w:rsidRDefault="00FF4427">
      <w:pPr>
        <w:spacing w:before="240" w:after="240" w:line="278" w:lineRule="auto"/>
        <w:jc w:val="both"/>
        <w:rPr>
          <w:rFonts w:ascii="Times New Roman" w:eastAsia="Times New Roman" w:hAnsi="Times New Roman" w:cs="Times New Roman"/>
          <w:sz w:val="24"/>
          <w:szCs w:val="24"/>
        </w:rPr>
      </w:pPr>
    </w:p>
    <w:p w:rsidR="00FF4427" w:rsidRDefault="00FF4427">
      <w:pPr>
        <w:spacing w:before="240" w:after="240" w:line="278" w:lineRule="auto"/>
        <w:jc w:val="both"/>
        <w:rPr>
          <w:rFonts w:ascii="Times New Roman" w:eastAsia="Times New Roman" w:hAnsi="Times New Roman" w:cs="Times New Roman"/>
          <w:sz w:val="24"/>
          <w:szCs w:val="24"/>
        </w:rPr>
      </w:pPr>
    </w:p>
    <w:p w:rsidR="00FF4427" w:rsidRDefault="00FF4427">
      <w:pPr>
        <w:spacing w:before="240" w:after="240" w:line="278" w:lineRule="auto"/>
        <w:jc w:val="both"/>
        <w:rPr>
          <w:rFonts w:ascii="Times New Roman" w:eastAsia="Times New Roman" w:hAnsi="Times New Roman" w:cs="Times New Roman"/>
          <w:sz w:val="24"/>
          <w:szCs w:val="24"/>
        </w:rPr>
      </w:pPr>
    </w:p>
    <w:p w:rsidR="00FF4427" w:rsidRDefault="000E45D6">
      <w:pPr>
        <w:spacing w:before="240" w:after="240" w:line="27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Ilustración 1. Cantidad de Predios nuevos 2012 - 2024</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419"/>
        </w:rPr>
        <w:drawing>
          <wp:inline distT="114300" distB="114300" distL="114300" distR="114300">
            <wp:extent cx="5612130" cy="18669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t="14042"/>
                    <a:stretch>
                      <a:fillRect/>
                    </a:stretch>
                  </pic:blipFill>
                  <pic:spPr>
                    <a:xfrm>
                      <a:off x="0" y="0"/>
                      <a:ext cx="5612130" cy="1866900"/>
                    </a:xfrm>
                    <a:prstGeom prst="rect">
                      <a:avLst/>
                    </a:prstGeom>
                    <a:ln/>
                  </pic:spPr>
                </pic:pic>
              </a:graphicData>
            </a:graphic>
          </wp:inline>
        </w:drawing>
      </w:r>
    </w:p>
    <w:p w:rsidR="00FF4427" w:rsidRDefault="000E45D6">
      <w:pPr>
        <w:spacing w:before="240" w:after="240" w:line="27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Fuente: UAECD. Sistema Integrado de Información Catastro - SIIC. </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crecimiento de la propiedad horizontal como modelo predominante de organización y convivencia en la ciudad resalta su papel fundamental en la administración de bienes inmuebles, especialmente en el contexto del alto porcentaje de predios residenciales. Esta tendencia subraya la necesidad de contar con políticas públicas claras y efectivas para abordar los desafíos específicos de este régimen, como la gestión eficiente, la convivencia entre propietarios y residentes, y la resolución de conflictos.</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este marco, la seguridad en la propiedad horizontal es un aspecto clave para garantizar la protección de los residentes, la preservación de los bienes comunes y privados, y el bienestar social y psicológico de la comunidad. Dado que múltiples propietarios comparten espacios comunes, la implementación de medidas de seguridad se vuelve indispensable para prevenir riesgos y fortalecer un ambiente de tranquilidad y confianza, elementos esenciales para la convivencia.</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Abordar la seguridad en la propiedad horizontal requiere un enfoque integral que la entienda como un proceso dinámico y multidimensional. Esto implica la participación activa de la sociedad civil, el sector privado y el Estado, fortaleciendo el tejido social y garantizando el respeto a los derechos humanos. Para ello, es fundamental mejorar la coordinación interinstitucional, establecer diagnósticos precisos y articular esfuerzos con la comunidad y </w:t>
      </w:r>
      <w:r>
        <w:rPr>
          <w:rFonts w:ascii="Times New Roman" w:eastAsia="Times New Roman" w:hAnsi="Times New Roman" w:cs="Times New Roman"/>
          <w:sz w:val="24"/>
          <w:szCs w:val="24"/>
        </w:rPr>
        <w:lastRenderedPageBreak/>
        <w:t>las autoridades. En este sentido, se propone ampliar el alcance del acuerdo vigente, promoviendo tanto la seguridad como lineamientos específicos que garanticen entornos protegidos para residentes, trabajadores y visitantes en copropiedades de uso residencial.</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Asimismo, es necesario fortalecer la articulación con las autoridades distritales, especialmente la Secretaría de Seguridad, Convivencia y Justicia, que debe asumir un rol coordinador más activo. También se debe reforzar la colaboración con las Alcaldías Locales y el sector de seguridad privada para ampliar el impacto de las medidas de protección. Esto permitirá obtener un diagnóstico integral que abarque infraestructura, vigilancia privada, sistemas de monitoreo y programas de capacitación, identificando brechas y oportunidades de mejora para diseñar estrategias de seguridad más efectivas.</w:t>
      </w:r>
    </w:p>
    <w:p w:rsidR="00FF4427" w:rsidRDefault="000E45D6">
      <w:pPr>
        <w:spacing w:before="240" w:after="240" w:line="278"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Por último, resulta prioritario optimizar la interoperabilidad de los sistemas de videovigilancia, asegurando la conexión entre los sistemas de vigilancia de las copropiedades y el sistema distrital (C4). Además, se debe fortalecer la coordinación con las Comisarías de Familia, reconociendo su papel en la atención de casos relacionados con seguridad en el ámbito residencial, y establecer una reglamentación efectiva en un plazo máximo de seis meses.</w:t>
      </w:r>
    </w:p>
    <w:p w:rsidR="00FF4427" w:rsidRDefault="000E45D6">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VII. IMPACTO FISCAL</w:t>
      </w:r>
    </w:p>
    <w:p w:rsidR="00FF4427" w:rsidRDefault="000E45D6">
      <w:pPr>
        <w:spacing w:before="240" w:after="240" w:line="259" w:lineRule="auto"/>
        <w:jc w:val="both"/>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De conformidad con el artículo 7 de la Ley 819 de 2003, el presente Proyecto de Acuerdo no genera un impacto fiscal que implique una modificación en el marco fiscal de mediano plazo, toda vez, que no se incrementará el presupuesto del Distrito, ni ocasionará la creación de una nueva fuente de financiación; ya que, según lo establecido por los autores, se enmarcan en los programas y metas planteadas en el Plan Distrital de Desarrollo – Bogotá camina segura.</w:t>
      </w:r>
    </w:p>
    <w:p w:rsidR="00FF4427" w:rsidRDefault="000E45D6">
      <w:pPr>
        <w:spacing w:after="160" w:line="259"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VIII. PLIEGO DE MODIFICACIONES</w:t>
      </w:r>
    </w:p>
    <w:p w:rsidR="00FF4427" w:rsidRDefault="000E45D6">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continuación, se encuentran las modificaciones propuestas en calidad de ponentes:</w:t>
      </w:r>
    </w:p>
    <w:p w:rsidR="00FF4427" w:rsidRDefault="00FF4427">
      <w:pPr>
        <w:spacing w:after="160" w:line="259" w:lineRule="auto"/>
        <w:jc w:val="both"/>
        <w:rPr>
          <w:rFonts w:ascii="Times New Roman" w:eastAsia="Times New Roman" w:hAnsi="Times New Roman" w:cs="Times New Roman"/>
          <w:sz w:val="24"/>
          <w:szCs w:val="24"/>
        </w:rPr>
      </w:pPr>
    </w:p>
    <w:tbl>
      <w:tblPr>
        <w:tblStyle w:val="a"/>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5"/>
        <w:gridCol w:w="2925"/>
        <w:gridCol w:w="2940"/>
      </w:tblGrid>
      <w:tr w:rsidR="00FF4427">
        <w:tc>
          <w:tcPr>
            <w:tcW w:w="3225" w:type="dxa"/>
            <w:shd w:val="clear" w:color="auto" w:fill="DBDBDB"/>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TEXTO RADICADO</w:t>
            </w:r>
          </w:p>
        </w:tc>
        <w:tc>
          <w:tcPr>
            <w:tcW w:w="2925" w:type="dxa"/>
            <w:shd w:val="clear" w:color="auto" w:fill="DBDBDB"/>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TEXTO PROPUESTO PARA PRIMER DEBATE</w:t>
            </w:r>
          </w:p>
        </w:tc>
        <w:tc>
          <w:tcPr>
            <w:tcW w:w="2940" w:type="dxa"/>
            <w:shd w:val="clear" w:color="auto" w:fill="DBDBDB"/>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OBSERVACIONES</w:t>
            </w:r>
          </w:p>
        </w:tc>
      </w:tr>
      <w:tr w:rsidR="00FF4427">
        <w:tc>
          <w:tcPr>
            <w:tcW w:w="3225" w:type="dxa"/>
            <w:vAlign w:val="center"/>
          </w:tcPr>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“POR MEDIO DEL CUAL SE PROMUEVE LA </w:t>
            </w:r>
            <w:r>
              <w:rPr>
                <w:rFonts w:ascii="Times New Roman" w:eastAsia="Times New Roman" w:hAnsi="Times New Roman" w:cs="Times New Roman"/>
                <w:b/>
                <w:sz w:val="24"/>
                <w:szCs w:val="24"/>
              </w:rPr>
              <w:lastRenderedPageBreak/>
              <w:t xml:space="preserve">SEGURIDAD EN LAS COPROPIEDADES SUJETAS AL RÉGIMEN DE PROPIEDAD HORIZONTAL EN EL DISTRITO CAPITAL” </w:t>
            </w:r>
          </w:p>
        </w:tc>
        <w:tc>
          <w:tcPr>
            <w:tcW w:w="2925" w:type="dxa"/>
            <w:vAlign w:val="center"/>
          </w:tcPr>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“POR MEDIO DEL CUAL SE PROMUEVE </w:t>
            </w:r>
            <w:r>
              <w:rPr>
                <w:rFonts w:ascii="Times New Roman" w:eastAsia="Times New Roman" w:hAnsi="Times New Roman" w:cs="Times New Roman"/>
                <w:b/>
                <w:sz w:val="24"/>
                <w:szCs w:val="24"/>
              </w:rPr>
              <w:lastRenderedPageBreak/>
              <w:t>LA SEGURIDAD</w:t>
            </w:r>
            <w:r>
              <w:rPr>
                <w:rFonts w:ascii="Times New Roman" w:eastAsia="Times New Roman" w:hAnsi="Times New Roman" w:cs="Times New Roman"/>
                <w:b/>
                <w:color w:val="FF0000"/>
                <w:sz w:val="24"/>
                <w:szCs w:val="24"/>
                <w:u w:val="single"/>
              </w:rPr>
              <w:t xml:space="preserve"> Y CONVIVENCIA</w:t>
            </w:r>
            <w:r>
              <w:rPr>
                <w:rFonts w:ascii="Times New Roman" w:eastAsia="Times New Roman" w:hAnsi="Times New Roman" w:cs="Times New Roman"/>
                <w:b/>
                <w:sz w:val="24"/>
                <w:szCs w:val="24"/>
              </w:rPr>
              <w:t xml:space="preserve"> EN LAS COPROPIEDADES </w:t>
            </w:r>
            <w:r>
              <w:rPr>
                <w:rFonts w:ascii="Times New Roman" w:eastAsia="Times New Roman" w:hAnsi="Times New Roman" w:cs="Times New Roman"/>
                <w:b/>
                <w:color w:val="FF0000"/>
                <w:sz w:val="24"/>
                <w:szCs w:val="24"/>
                <w:u w:val="single"/>
              </w:rPr>
              <w:t xml:space="preserve">DE USO RESIDENCIAL </w:t>
            </w:r>
            <w:r>
              <w:rPr>
                <w:rFonts w:ascii="Times New Roman" w:eastAsia="Times New Roman" w:hAnsi="Times New Roman" w:cs="Times New Roman"/>
                <w:b/>
                <w:sz w:val="24"/>
                <w:szCs w:val="24"/>
              </w:rPr>
              <w:t xml:space="preserve">SUJETAS AL RÉGIMEN DE PROPIEDAD HORIZONTAL EN EL DISTRITO CAPITAL” </w:t>
            </w:r>
          </w:p>
        </w:tc>
        <w:tc>
          <w:tcPr>
            <w:tcW w:w="2940" w:type="dxa"/>
            <w:vAlign w:val="center"/>
          </w:tcPr>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Se ajustó el título del proyecto para precisar su </w:t>
            </w:r>
            <w:r>
              <w:rPr>
                <w:rFonts w:ascii="Times New Roman" w:eastAsia="Times New Roman" w:hAnsi="Times New Roman" w:cs="Times New Roman"/>
                <w:sz w:val="24"/>
                <w:szCs w:val="24"/>
              </w:rPr>
              <w:lastRenderedPageBreak/>
              <w:t>alcance, enfatizando tanto la seguridad como la convivencia en las copropiedades residenciales. Esto responde a la necesidad de ampliar la visión del proyecto más allá de la protección de bienes e infraestructura, integrando el fortalecimiento de las relaciones humanas y comunitarias dentro de los conjuntos residenciales.</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ajuste también permite alinear el enfoque del proyecto con la </w:t>
            </w:r>
            <w:r>
              <w:rPr>
                <w:rFonts w:ascii="Times New Roman" w:eastAsia="Times New Roman" w:hAnsi="Times New Roman" w:cs="Times New Roman"/>
                <w:b/>
                <w:sz w:val="24"/>
                <w:szCs w:val="24"/>
              </w:rPr>
              <w:t>Política Nacional de Seguridad y Convivencia</w:t>
            </w:r>
            <w:r>
              <w:rPr>
                <w:rFonts w:ascii="Times New Roman" w:eastAsia="Times New Roman" w:hAnsi="Times New Roman" w:cs="Times New Roman"/>
                <w:sz w:val="24"/>
                <w:szCs w:val="24"/>
              </w:rPr>
              <w:t xml:space="preserve"> y el </w:t>
            </w:r>
            <w:r>
              <w:rPr>
                <w:rFonts w:ascii="Times New Roman" w:eastAsia="Times New Roman" w:hAnsi="Times New Roman" w:cs="Times New Roman"/>
                <w:b/>
                <w:sz w:val="24"/>
                <w:szCs w:val="24"/>
              </w:rPr>
              <w:t>Código Nacional de Seguridad y Convivencia Ciudadana (Ley 1801 de 2016)</w:t>
            </w:r>
            <w:r>
              <w:rPr>
                <w:rFonts w:ascii="Times New Roman" w:eastAsia="Times New Roman" w:hAnsi="Times New Roman" w:cs="Times New Roman"/>
                <w:sz w:val="24"/>
                <w:szCs w:val="24"/>
              </w:rPr>
              <w:t>, los cuales establecen que la seguridad debe contemplar no solo medidas físicas y tecnológicas, sino también estrategias orientadas a la convivencia y el bienestar de los habitantes.</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Asimismo, se especificó que el proyecto está dirigido exclusivamente a copropiedades de uso residencial, en concordancia con la Ley 675 de 2001, que clasifica la propiedad horizontal en residencial, comercial y mixta. Este </w:t>
            </w:r>
            <w:r>
              <w:rPr>
                <w:rFonts w:ascii="Times New Roman" w:eastAsia="Times New Roman" w:hAnsi="Times New Roman" w:cs="Times New Roman"/>
                <w:sz w:val="24"/>
                <w:szCs w:val="24"/>
              </w:rPr>
              <w:lastRenderedPageBreak/>
              <w:t>cambio busca evitar interpretaciones ambiguas y garantizar que las disposiciones se apliquen en el contexto adecuado.</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Artículo 1. Objeto del Acuerdo. </w:t>
            </w:r>
            <w:r>
              <w:rPr>
                <w:rFonts w:ascii="Times New Roman" w:eastAsia="Times New Roman" w:hAnsi="Times New Roman" w:cs="Times New Roman"/>
                <w:sz w:val="24"/>
                <w:szCs w:val="24"/>
              </w:rPr>
              <w:t>El presente acuerdo tiene como objeto establecer medidas para promover y garantizar la seguridad en las copropiedades sujetas al régimen de propiedad horizontal en el Distrito Capital, con el fin de mejorar la protección de los residentes y sus bienes.</w:t>
            </w:r>
          </w:p>
        </w:tc>
        <w:tc>
          <w:tcPr>
            <w:tcW w:w="2925" w:type="dxa"/>
            <w:vAlign w:val="center"/>
          </w:tcPr>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b/>
                <w:sz w:val="24"/>
                <w:szCs w:val="24"/>
              </w:rPr>
              <w:t xml:space="preserve">Artículo 1. Objeto del Acuerdo. </w:t>
            </w:r>
            <w:r>
              <w:rPr>
                <w:rFonts w:ascii="Times New Roman" w:eastAsia="Times New Roman" w:hAnsi="Times New Roman" w:cs="Times New Roman"/>
                <w:sz w:val="24"/>
                <w:szCs w:val="24"/>
              </w:rPr>
              <w:t xml:space="preserve">El presente acuerdo tiene como objeto establecer </w:t>
            </w:r>
            <w:r>
              <w:rPr>
                <w:rFonts w:ascii="Times New Roman" w:eastAsia="Times New Roman" w:hAnsi="Times New Roman" w:cs="Times New Roman"/>
                <w:color w:val="FF0000"/>
                <w:sz w:val="24"/>
                <w:szCs w:val="24"/>
                <w:u w:val="single"/>
              </w:rPr>
              <w:t>lineamientos</w:t>
            </w:r>
            <w:r>
              <w:rPr>
                <w:rFonts w:ascii="Times New Roman" w:eastAsia="Times New Roman" w:hAnsi="Times New Roman" w:cs="Times New Roman"/>
                <w:sz w:val="24"/>
                <w:szCs w:val="24"/>
              </w:rPr>
              <w:t xml:space="preserve"> para </w:t>
            </w:r>
            <w:r>
              <w:rPr>
                <w:rFonts w:ascii="Times New Roman" w:eastAsia="Times New Roman" w:hAnsi="Times New Roman" w:cs="Times New Roman"/>
                <w:color w:val="FF0000"/>
                <w:sz w:val="24"/>
                <w:szCs w:val="24"/>
                <w:u w:val="single"/>
              </w:rPr>
              <w:t>fortalecer</w:t>
            </w:r>
            <w:r>
              <w:rPr>
                <w:rFonts w:ascii="Times New Roman" w:eastAsia="Times New Roman" w:hAnsi="Times New Roman" w:cs="Times New Roman"/>
                <w:sz w:val="24"/>
                <w:szCs w:val="24"/>
              </w:rPr>
              <w:t xml:space="preserve"> la seguridad </w:t>
            </w:r>
            <w:r>
              <w:rPr>
                <w:rFonts w:ascii="Times New Roman" w:eastAsia="Times New Roman" w:hAnsi="Times New Roman" w:cs="Times New Roman"/>
                <w:color w:val="FF0000"/>
                <w:sz w:val="24"/>
                <w:szCs w:val="24"/>
                <w:u w:val="single"/>
              </w:rPr>
              <w:t>y la convivencia</w:t>
            </w:r>
            <w:r>
              <w:rPr>
                <w:rFonts w:ascii="Times New Roman" w:eastAsia="Times New Roman" w:hAnsi="Times New Roman" w:cs="Times New Roman"/>
                <w:sz w:val="24"/>
                <w:szCs w:val="24"/>
              </w:rPr>
              <w:t xml:space="preserve"> en las copropiedades </w:t>
            </w:r>
            <w:r>
              <w:rPr>
                <w:rFonts w:ascii="Times New Roman" w:eastAsia="Times New Roman" w:hAnsi="Times New Roman" w:cs="Times New Roman"/>
                <w:color w:val="FF0000"/>
                <w:sz w:val="24"/>
                <w:szCs w:val="24"/>
                <w:u w:val="single"/>
              </w:rPr>
              <w:t>de uso residencial</w:t>
            </w:r>
            <w:r>
              <w:rPr>
                <w:rFonts w:ascii="Times New Roman" w:eastAsia="Times New Roman" w:hAnsi="Times New Roman" w:cs="Times New Roman"/>
                <w:sz w:val="24"/>
                <w:szCs w:val="24"/>
              </w:rPr>
              <w:t xml:space="preserve"> sujetas al régimen de propiedad horizontal en el Distrito Capital, </w:t>
            </w:r>
            <w:r>
              <w:rPr>
                <w:rFonts w:ascii="Times New Roman" w:eastAsia="Times New Roman" w:hAnsi="Times New Roman" w:cs="Times New Roman"/>
                <w:color w:val="FF0000"/>
                <w:sz w:val="24"/>
                <w:szCs w:val="24"/>
                <w:u w:val="single"/>
              </w:rPr>
              <w:t xml:space="preserve">garantizando entornos seguros para quienes habitan, trabajan o transitan en ellas, así como para la preservación de sus bienes e infraestructura. </w:t>
            </w:r>
          </w:p>
          <w:p w:rsidR="00FF4427" w:rsidRDefault="00FF4427">
            <w:pPr>
              <w:spacing w:before="240" w:after="240" w:line="256" w:lineRule="auto"/>
              <w:jc w:val="both"/>
              <w:rPr>
                <w:rFonts w:ascii="Times New Roman" w:eastAsia="Times New Roman" w:hAnsi="Times New Roman" w:cs="Times New Roman"/>
                <w:color w:val="FF0000"/>
                <w:sz w:val="24"/>
                <w:szCs w:val="24"/>
                <w:u w:val="single"/>
              </w:rPr>
            </w:pPr>
          </w:p>
        </w:tc>
        <w:tc>
          <w:tcPr>
            <w:tcW w:w="2940" w:type="dxa"/>
            <w:vAlign w:val="center"/>
          </w:tcPr>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modificó el objeto del acuerdo para ampliar su enfoque, pasando de una visión centrada exclusivamente en la seguridad a una que integra la convivencia como un eje fundamental dentro de las copropiedades de uso residencial. </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precisó que el acuerdo establece </w:t>
            </w:r>
            <w:r>
              <w:rPr>
                <w:rFonts w:ascii="Times New Roman" w:eastAsia="Times New Roman" w:hAnsi="Times New Roman" w:cs="Times New Roman"/>
                <w:sz w:val="24"/>
                <w:szCs w:val="24"/>
                <w:u w:val="single"/>
              </w:rPr>
              <w:t>lineamientos</w:t>
            </w:r>
            <w:r>
              <w:rPr>
                <w:rFonts w:ascii="Times New Roman" w:eastAsia="Times New Roman" w:hAnsi="Times New Roman" w:cs="Times New Roman"/>
                <w:sz w:val="24"/>
                <w:szCs w:val="24"/>
              </w:rPr>
              <w:t xml:space="preserve"> en lugar de medidas específicas, permitiendo una aplicación más flexible y adaptada a las realidades de cada copropiedad.</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También se incluyó a quienes habitan, trabajan o transitan en estas propiedades, reconociendo que la seguridad y la convivencia no solo afectan a los residentes, sino también a empleados, visitantes y demás actores que interactúan en estos espacios.</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Por último, se enfatizó la preservación de la infraestructura de las </w:t>
            </w:r>
            <w:r>
              <w:rPr>
                <w:rFonts w:ascii="Times New Roman" w:eastAsia="Times New Roman" w:hAnsi="Times New Roman" w:cs="Times New Roman"/>
                <w:sz w:val="24"/>
                <w:szCs w:val="24"/>
              </w:rPr>
              <w:lastRenderedPageBreak/>
              <w:t>copropiedades, dado que su adecuado mantenimiento y gestión también inciden en la seguridad y calidad de vida de la comunidad.</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Artículo 2. Coordinación. </w:t>
            </w:r>
            <w:r>
              <w:rPr>
                <w:rFonts w:ascii="Times New Roman" w:eastAsia="Times New Roman" w:hAnsi="Times New Roman" w:cs="Times New Roman"/>
                <w:sz w:val="24"/>
                <w:szCs w:val="24"/>
              </w:rPr>
              <w:t xml:space="preserve">La Administración Distrital, encabezada por la Secretaría Distrital de Seguridad Convivencia y Justicia, propenderá por establecer un mecanismo de articulación y coordinación entre las copropiedades y las autoridades distritales, con el objetivo de mejorar los aspectos de seguridad en las áreas residenciales. </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Este mecanismo incluirá la colaboración continua entre instituciones como la Policía Metropolitana de Bogotá y la Unidad Administrativa del Cuerpo Oficial de Bomberos, en aras de coordinar esfuerzos, brindar asesoramiento en materia de seguridad y promover la implementación de medidas preventivas y correctivas al interior de las copropiedades. </w:t>
            </w:r>
          </w:p>
        </w:tc>
        <w:tc>
          <w:tcPr>
            <w:tcW w:w="2925" w:type="dxa"/>
            <w:vAlign w:val="center"/>
          </w:tcPr>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b/>
                <w:sz w:val="24"/>
                <w:szCs w:val="24"/>
              </w:rPr>
              <w:t xml:space="preserve">Artículo 2. Coordinación. </w:t>
            </w:r>
            <w:r>
              <w:rPr>
                <w:rFonts w:ascii="Times New Roman" w:eastAsia="Times New Roman" w:hAnsi="Times New Roman" w:cs="Times New Roman"/>
                <w:sz w:val="24"/>
                <w:szCs w:val="24"/>
              </w:rPr>
              <w:t xml:space="preserve">La Administración Distrital, </w:t>
            </w:r>
            <w:r>
              <w:rPr>
                <w:rFonts w:ascii="Times New Roman" w:eastAsia="Times New Roman" w:hAnsi="Times New Roman" w:cs="Times New Roman"/>
                <w:color w:val="FF0000"/>
                <w:sz w:val="24"/>
                <w:szCs w:val="24"/>
                <w:u w:val="single"/>
              </w:rPr>
              <w:t>en cabeza de</w:t>
            </w:r>
            <w:r>
              <w:rPr>
                <w:rFonts w:ascii="Times New Roman" w:eastAsia="Times New Roman" w:hAnsi="Times New Roman" w:cs="Times New Roman"/>
                <w:sz w:val="24"/>
                <w:szCs w:val="24"/>
              </w:rPr>
              <w:t xml:space="preserve"> la Secretaría Distrital de Seguridad Convivencia y Justicia, </w:t>
            </w:r>
            <w:r>
              <w:rPr>
                <w:rFonts w:ascii="Times New Roman" w:eastAsia="Times New Roman" w:hAnsi="Times New Roman" w:cs="Times New Roman"/>
                <w:color w:val="FF0000"/>
                <w:sz w:val="24"/>
                <w:szCs w:val="24"/>
                <w:u w:val="single"/>
              </w:rPr>
              <w:t>establecerá mecanismos</w:t>
            </w:r>
            <w:r>
              <w:rPr>
                <w:rFonts w:ascii="Times New Roman" w:eastAsia="Times New Roman" w:hAnsi="Times New Roman" w:cs="Times New Roman"/>
                <w:sz w:val="24"/>
                <w:szCs w:val="24"/>
              </w:rPr>
              <w:t xml:space="preserve"> de articulación con las </w:t>
            </w:r>
            <w:r>
              <w:rPr>
                <w:rFonts w:ascii="Times New Roman" w:eastAsia="Times New Roman" w:hAnsi="Times New Roman" w:cs="Times New Roman"/>
                <w:color w:val="FF0000"/>
                <w:sz w:val="24"/>
                <w:szCs w:val="24"/>
                <w:u w:val="single"/>
              </w:rPr>
              <w:t>copropiedades de uso residencial y las autoridades competentes para fortalecer la seguridad y convivencia en estos espacios.</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FF0000"/>
                <w:sz w:val="24"/>
                <w:szCs w:val="24"/>
                <w:u w:val="single"/>
              </w:rPr>
              <w:t>Estos mecanismos incluirán</w:t>
            </w:r>
            <w:r>
              <w:rPr>
                <w:rFonts w:ascii="Times New Roman" w:eastAsia="Times New Roman" w:hAnsi="Times New Roman" w:cs="Times New Roman"/>
                <w:sz w:val="24"/>
                <w:szCs w:val="24"/>
              </w:rPr>
              <w:t xml:space="preserve"> la colaboración continua </w:t>
            </w:r>
            <w:r>
              <w:rPr>
                <w:rFonts w:ascii="Times New Roman" w:eastAsia="Times New Roman" w:hAnsi="Times New Roman" w:cs="Times New Roman"/>
                <w:color w:val="FF0000"/>
                <w:sz w:val="24"/>
                <w:szCs w:val="24"/>
                <w:u w:val="single"/>
              </w:rPr>
              <w:t>con</w:t>
            </w:r>
            <w:r>
              <w:rPr>
                <w:rFonts w:ascii="Times New Roman" w:eastAsia="Times New Roman" w:hAnsi="Times New Roman" w:cs="Times New Roman"/>
                <w:sz w:val="24"/>
                <w:szCs w:val="24"/>
              </w:rPr>
              <w:t xml:space="preserve"> la Policía Metropolitana de Bogotá, las </w:t>
            </w:r>
            <w:r>
              <w:rPr>
                <w:rFonts w:ascii="Times New Roman" w:eastAsia="Times New Roman" w:hAnsi="Times New Roman" w:cs="Times New Roman"/>
                <w:color w:val="FF0000"/>
                <w:sz w:val="24"/>
                <w:szCs w:val="24"/>
                <w:u w:val="single"/>
              </w:rPr>
              <w:t>Alcaldías Locales, las empresas de seguridad privada y otras entidades distritales, con el propósito de coordinar esfuerzos, brindar asesoramiento técnico y operativo en seguridad, y promover la adopción de medidas preventivas al interior y los alrededores de las copropiedades.</w:t>
            </w:r>
          </w:p>
        </w:tc>
        <w:tc>
          <w:tcPr>
            <w:tcW w:w="2940" w:type="dxa"/>
            <w:vAlign w:val="center"/>
          </w:tcPr>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ajustó la redacción para precisar que el proyecto aplica solo a copropiedades de uso residencial, garantizando coherencia con su objeto. </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cambió “mecanismo” por “mecanismos” para reflejar que la articulación puede darse de diversas formas. Además, se eliminó la referencia a “medidas correctivas”, ya que estas son competencia exclusiva de la Policía y las inspecciones de policía, evitando confusiones sobre las funciones de la Secretaría de Seguridad y otras entidades.</w:t>
            </w:r>
          </w:p>
        </w:tc>
      </w:tr>
      <w:tr w:rsidR="00FF4427">
        <w:trPr>
          <w:trHeight w:val="3377"/>
        </w:trPr>
        <w:tc>
          <w:tcPr>
            <w:tcW w:w="32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Artículo 3. Campañas de Difusión. </w:t>
            </w:r>
            <w:r>
              <w:rPr>
                <w:rFonts w:ascii="Times New Roman" w:eastAsia="Times New Roman" w:hAnsi="Times New Roman" w:cs="Times New Roman"/>
                <w:sz w:val="24"/>
                <w:szCs w:val="24"/>
              </w:rPr>
              <w:t>El Instituto para la Participación y la Acción Comunal, en colaboración con la Secretaría Distrital de Seguridad, Convivencia y Justicia, promoverá la conciencia sobre la importancia de la seguridad en las copropiedades. Para lograrlo, se llevarán a cabo campañas de difusión de información y se implementarán iniciativas específicas dentro de las copropiedades, con el objetivo de sensibilizar a los residentes y fomentar prácticas seguras.</w:t>
            </w:r>
          </w:p>
        </w:tc>
        <w:tc>
          <w:tcPr>
            <w:tcW w:w="2925" w:type="dxa"/>
            <w:vAlign w:val="center"/>
          </w:tcPr>
          <w:p w:rsidR="00FF4427" w:rsidRDefault="000E45D6">
            <w:pPr>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b/>
                <w:sz w:val="24"/>
                <w:szCs w:val="24"/>
              </w:rPr>
              <w:t xml:space="preserve">Artículo 3. Campañas de difusión. </w:t>
            </w:r>
            <w:r>
              <w:rPr>
                <w:rFonts w:ascii="Times New Roman" w:eastAsia="Times New Roman" w:hAnsi="Times New Roman" w:cs="Times New Roman"/>
                <w:sz w:val="24"/>
                <w:szCs w:val="24"/>
              </w:rPr>
              <w:t xml:space="preserve">El Instituto Distrital </w:t>
            </w:r>
            <w:r>
              <w:rPr>
                <w:rFonts w:ascii="Times New Roman" w:eastAsia="Times New Roman" w:hAnsi="Times New Roman" w:cs="Times New Roman"/>
                <w:color w:val="FF0000"/>
                <w:sz w:val="24"/>
                <w:szCs w:val="24"/>
                <w:u w:val="single"/>
              </w:rPr>
              <w:t>de</w:t>
            </w:r>
            <w:r>
              <w:rPr>
                <w:rFonts w:ascii="Times New Roman" w:eastAsia="Times New Roman" w:hAnsi="Times New Roman" w:cs="Times New Roman"/>
                <w:sz w:val="24"/>
                <w:szCs w:val="24"/>
              </w:rPr>
              <w:t xml:space="preserve"> la Participación y Acción Comunal, en articulación con la Secretaría Distrital de Seguridad, Convivencia y Justicia, </w:t>
            </w:r>
            <w:r>
              <w:rPr>
                <w:rFonts w:ascii="Times New Roman" w:eastAsia="Times New Roman" w:hAnsi="Times New Roman" w:cs="Times New Roman"/>
                <w:color w:val="FF0000"/>
                <w:sz w:val="24"/>
                <w:szCs w:val="24"/>
                <w:u w:val="single"/>
              </w:rPr>
              <w:t>desarrollará</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u w:val="single"/>
              </w:rPr>
              <w:t>estrategias de sensibilización</w:t>
            </w:r>
            <w:r>
              <w:rPr>
                <w:rFonts w:ascii="Times New Roman" w:eastAsia="Times New Roman" w:hAnsi="Times New Roman" w:cs="Times New Roman"/>
                <w:sz w:val="24"/>
                <w:szCs w:val="24"/>
              </w:rPr>
              <w:t xml:space="preserve"> sobre la </w:t>
            </w:r>
            <w:r>
              <w:rPr>
                <w:rFonts w:ascii="Times New Roman" w:eastAsia="Times New Roman" w:hAnsi="Times New Roman" w:cs="Times New Roman"/>
                <w:color w:val="FF0000"/>
                <w:sz w:val="24"/>
                <w:szCs w:val="24"/>
                <w:u w:val="single"/>
              </w:rPr>
              <w:t>seguridad integral en las copropiedades de uso residencial</w:t>
            </w:r>
            <w:r>
              <w:rPr>
                <w:rFonts w:ascii="Times New Roman" w:eastAsia="Times New Roman" w:hAnsi="Times New Roman" w:cs="Times New Roman"/>
                <w:sz w:val="24"/>
                <w:szCs w:val="24"/>
              </w:rPr>
              <w:t xml:space="preserve">. Para lograrlo, se llevarán a cabo campañas </w:t>
            </w:r>
            <w:r>
              <w:rPr>
                <w:rFonts w:ascii="Times New Roman" w:eastAsia="Times New Roman" w:hAnsi="Times New Roman" w:cs="Times New Roman"/>
                <w:color w:val="FF0000"/>
                <w:sz w:val="24"/>
                <w:szCs w:val="24"/>
                <w:u w:val="single"/>
              </w:rPr>
              <w:t>pedagógicas</w:t>
            </w:r>
            <w:r>
              <w:rPr>
                <w:rFonts w:ascii="Times New Roman" w:eastAsia="Times New Roman" w:hAnsi="Times New Roman" w:cs="Times New Roman"/>
                <w:sz w:val="24"/>
                <w:szCs w:val="24"/>
              </w:rPr>
              <w:t xml:space="preserve"> de difusión de  información </w:t>
            </w:r>
            <w:r>
              <w:rPr>
                <w:rFonts w:ascii="Times New Roman" w:eastAsia="Times New Roman" w:hAnsi="Times New Roman" w:cs="Times New Roman"/>
                <w:color w:val="FF0000"/>
                <w:sz w:val="24"/>
                <w:szCs w:val="24"/>
                <w:u w:val="single"/>
              </w:rPr>
              <w:t>sobre medidas de prevención y convivencia, y fortalecimiento de la cultura del cuidado colectivo, promoviendo entornos más seguros para quienes habitan, trabajan o transitan en estos espacios.</w:t>
            </w:r>
          </w:p>
        </w:tc>
        <w:tc>
          <w:tcPr>
            <w:tcW w:w="2940" w:type="dxa"/>
            <w:vAlign w:val="center"/>
          </w:tcPr>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amplió el enfoque, pasando de una visión centrada solo en seguridad a una que integra la convivencia y la cultura del cuidado colectivo en las copropiedades residenciales. Esto permite fortalecer la prevención y sensibilización comunitaria, promoviendo entornos más seguros y armoniosos para quienes habitan, trabajan o transitan en estos espacios.</w:t>
            </w:r>
          </w:p>
          <w:p w:rsidR="00FF4427" w:rsidRDefault="000E45D6">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cambio también garantiza que las campañas tengan un enfoque pedagógico y preventivo, alineado con la Política Nacional de Seguridad y Convivencia y el Código Nacional de Seguridad y Convivencia Ciudadana (Ley 1801 de 2016), fomentando la corresponsabilidad de la comunidad en la seguridad y convivencia cotidiana.</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4. Diagnóstico de seguridad. </w:t>
            </w:r>
            <w:r>
              <w:rPr>
                <w:rFonts w:ascii="Times New Roman" w:eastAsia="Times New Roman" w:hAnsi="Times New Roman" w:cs="Times New Roman"/>
                <w:sz w:val="24"/>
                <w:szCs w:val="24"/>
              </w:rPr>
              <w:t xml:space="preserve">La administración Distrital fomentará la participación de las autoridades en la revisión y actualización de las políticas de seguridad y en la capacitación de los residentes, con el fin de </w:t>
            </w:r>
            <w:r>
              <w:rPr>
                <w:rFonts w:ascii="Times New Roman" w:eastAsia="Times New Roman" w:hAnsi="Times New Roman" w:cs="Times New Roman"/>
                <w:sz w:val="24"/>
                <w:szCs w:val="24"/>
              </w:rPr>
              <w:lastRenderedPageBreak/>
              <w:t xml:space="preserve">fortalecer la seguridad y el bienestar en las copropiedades. </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Además, la Secretaría Distrital de Seguridad, en colaboración con las Alcaldías locales, realizará un diagnóstico de las medidas de seguridad y capacitación con las que cuentan las copropiedades de propiedad horizontal en el Distrito Capital. </w:t>
            </w:r>
          </w:p>
        </w:tc>
        <w:tc>
          <w:tcPr>
            <w:tcW w:w="2925" w:type="dxa"/>
            <w:vAlign w:val="center"/>
          </w:tcPr>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b/>
                <w:color w:val="FF0000"/>
                <w:sz w:val="24"/>
                <w:szCs w:val="24"/>
                <w:u w:val="single"/>
              </w:rPr>
              <w:lastRenderedPageBreak/>
              <w:t xml:space="preserve">Artículo 4. Acompañamiento y asesoría en seguridad. </w:t>
            </w:r>
            <w:r>
              <w:rPr>
                <w:rFonts w:ascii="Times New Roman" w:eastAsia="Times New Roman" w:hAnsi="Times New Roman" w:cs="Times New Roman"/>
                <w:color w:val="FF0000"/>
                <w:sz w:val="24"/>
                <w:szCs w:val="24"/>
                <w:u w:val="single"/>
              </w:rPr>
              <w:t xml:space="preserve">La Administración Distrital, a través de la Secretaría Distrital de Seguridad, Convivencia y Justicia, en coordinación con las </w:t>
            </w:r>
            <w:r>
              <w:rPr>
                <w:rFonts w:ascii="Times New Roman" w:eastAsia="Times New Roman" w:hAnsi="Times New Roman" w:cs="Times New Roman"/>
                <w:color w:val="FF0000"/>
                <w:sz w:val="24"/>
                <w:szCs w:val="24"/>
                <w:u w:val="single"/>
              </w:rPr>
              <w:lastRenderedPageBreak/>
              <w:t>Alcaldías Locales, brindará asesoría técnica y acompañamiento a las copropiedades de uso residencial en la creación, actualización y fortalecimiento de sus protocolos de seguridad.</w:t>
            </w:r>
          </w:p>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color w:val="FF0000"/>
                <w:sz w:val="24"/>
                <w:szCs w:val="24"/>
                <w:u w:val="single"/>
              </w:rPr>
              <w:t>Este apoyo estará enfocado en garantizar que dichos protocolos sean integrales, ajustados a la normatividad vigente, promuevan la convivencia y fortalezcan la articulación con las autoridades distritales. Asimismo, se impulsará la capacitación de administradores, residentes y trabajadores en estrategias de prevención y respuesta ante situaciones que afecten la seguridad en las copropiedades.</w:t>
            </w:r>
          </w:p>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color w:val="FF0000"/>
                <w:sz w:val="24"/>
                <w:szCs w:val="24"/>
                <w:u w:val="single"/>
              </w:rPr>
              <w:t xml:space="preserve">El acompañamiento respetará la autonomía de cada copropiedad, proporcionando herramientas y lineamientos sin intervenir en la definición de sus reglamentos internos. </w:t>
            </w:r>
          </w:p>
          <w:p w:rsidR="00FF4427" w:rsidRDefault="000E45D6">
            <w:pPr>
              <w:spacing w:before="240" w:after="240" w:line="256" w:lineRule="auto"/>
              <w:jc w:val="both"/>
              <w:rPr>
                <w:rFonts w:ascii="Times New Roman" w:eastAsia="Times New Roman" w:hAnsi="Times New Roman" w:cs="Times New Roman"/>
                <w:color w:val="FF0000"/>
                <w:sz w:val="24"/>
                <w:szCs w:val="24"/>
                <w:u w:val="single"/>
              </w:rPr>
            </w:pPr>
            <w:r>
              <w:rPr>
                <w:rFonts w:ascii="Times New Roman" w:eastAsia="Times New Roman" w:hAnsi="Times New Roman" w:cs="Times New Roman"/>
                <w:b/>
                <w:color w:val="FF0000"/>
                <w:sz w:val="24"/>
                <w:szCs w:val="24"/>
                <w:u w:val="single"/>
              </w:rPr>
              <w:t>Paragrafo.</w:t>
            </w:r>
            <w:r>
              <w:rPr>
                <w:rFonts w:ascii="Times New Roman" w:eastAsia="Times New Roman" w:hAnsi="Times New Roman" w:cs="Times New Roman"/>
                <w:color w:val="FF0000"/>
                <w:sz w:val="24"/>
                <w:szCs w:val="24"/>
                <w:u w:val="single"/>
              </w:rPr>
              <w:t xml:space="preserve"> Se propenderá por brindar </w:t>
            </w:r>
            <w:r>
              <w:rPr>
                <w:rFonts w:ascii="Times New Roman" w:eastAsia="Times New Roman" w:hAnsi="Times New Roman" w:cs="Times New Roman"/>
                <w:color w:val="FF0000"/>
                <w:sz w:val="24"/>
                <w:szCs w:val="24"/>
                <w:u w:val="single"/>
              </w:rPr>
              <w:lastRenderedPageBreak/>
              <w:t xml:space="preserve">acompañamiento en materia de Protección y Bienestar Animal a aquellas copropiedades sujetas al régimen de propiedad horizontal que contemplen en su esquema de seguridad el acompañamiento de animales domésticos. </w:t>
            </w:r>
          </w:p>
        </w:tc>
        <w:tc>
          <w:tcPr>
            <w:tcW w:w="2940" w:type="dxa"/>
            <w:vAlign w:val="center"/>
          </w:tcPr>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Se ajustó el artículo para respetar la autonomía de las copropiedades, conforme a la Ley 675 de 2001, la cual les otorga la facultad de definir sus propios reglamentos y protocolos de seguridad. En lugar de proponer un diagnóstico de seguridad, lo que podría </w:t>
            </w:r>
            <w:r>
              <w:rPr>
                <w:rFonts w:ascii="Times New Roman" w:eastAsia="Times New Roman" w:hAnsi="Times New Roman" w:cs="Times New Roman"/>
                <w:sz w:val="24"/>
                <w:szCs w:val="24"/>
              </w:rPr>
              <w:lastRenderedPageBreak/>
              <w:t>interpretarse como una intromisión en su gestión interna, se establece un enfoque de asesoría técnica y acompañamiento, garantizando que los lineamientos adoptados por las copropiedades sean integrales, ajustados a la normatividad vigente y promuevan la convivencia.</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Esta orientación permite que la Administración Distrital cumpla un rol de apoyo sin intervenir en la toma de decisiones internas, asegurando que las copropiedades cuenten con herramientas para fortalecer su seguridad de manera eficiente y articulada con las autoridades distritales.</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Artículo 5. Interoperabilidad de Sistemas de Videovigilancia en Conjuntos Residenciales. </w:t>
            </w:r>
            <w:r>
              <w:rPr>
                <w:rFonts w:ascii="Times New Roman" w:eastAsia="Times New Roman" w:hAnsi="Times New Roman" w:cs="Times New Roman"/>
                <w:sz w:val="24"/>
                <w:szCs w:val="24"/>
              </w:rPr>
              <w:t>La Secretaría de Seguridad, Convivencia y Justicia, en coordinación con el Instituto Distrital de la Participación y Acción Comunal (IDPAC), promoverá la interoperabilidad entre los sistemas de videovigilancia pertenecientes a los conjuntos residenciales sujetos al régimen de propiedad horizontal y el sistema de videovigilancia de la ciudad, administrado por el Centro de Comando, Control, Comunicaciones y Cómputo (C4).</w:t>
            </w:r>
          </w:p>
        </w:tc>
        <w:tc>
          <w:tcPr>
            <w:tcW w:w="29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Artículo 5. </w:t>
            </w:r>
            <w:r>
              <w:rPr>
                <w:rFonts w:ascii="Times New Roman" w:eastAsia="Times New Roman" w:hAnsi="Times New Roman" w:cs="Times New Roman"/>
                <w:b/>
                <w:color w:val="FF0000"/>
                <w:sz w:val="24"/>
                <w:szCs w:val="24"/>
                <w:u w:val="single"/>
              </w:rPr>
              <w:t xml:space="preserve">Optimización de la </w:t>
            </w:r>
            <w:r>
              <w:rPr>
                <w:rFonts w:ascii="Times New Roman" w:eastAsia="Times New Roman" w:hAnsi="Times New Roman" w:cs="Times New Roman"/>
                <w:b/>
                <w:sz w:val="24"/>
                <w:szCs w:val="24"/>
              </w:rPr>
              <w:t xml:space="preserve"> Interoperabilidad de Sistemas de Videovigilancia en Conjuntos Residenciales. </w:t>
            </w:r>
            <w:r>
              <w:rPr>
                <w:rFonts w:ascii="Times New Roman" w:eastAsia="Times New Roman" w:hAnsi="Times New Roman" w:cs="Times New Roman"/>
                <w:sz w:val="24"/>
                <w:szCs w:val="24"/>
              </w:rPr>
              <w:t xml:space="preserve">La Secretaría de Seguridad, Convivencia y Justicia, </w:t>
            </w:r>
            <w:r>
              <w:rPr>
                <w:rFonts w:ascii="Times New Roman" w:eastAsia="Times New Roman" w:hAnsi="Times New Roman" w:cs="Times New Roman"/>
                <w:strike/>
                <w:color w:val="FF0000"/>
                <w:sz w:val="24"/>
                <w:szCs w:val="24"/>
              </w:rPr>
              <w:t>en coordinación con el Instituto Distrital de la Participación y Acción Comunal (IDPAC)</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u w:val="single"/>
              </w:rPr>
              <w:t>optimizará</w:t>
            </w:r>
            <w:r>
              <w:rPr>
                <w:rFonts w:ascii="Times New Roman" w:eastAsia="Times New Roman" w:hAnsi="Times New Roman" w:cs="Times New Roman"/>
                <w:sz w:val="24"/>
                <w:szCs w:val="24"/>
              </w:rPr>
              <w:t xml:space="preserve"> la interoperabilidad entre los sistemas de videovigilancia </w:t>
            </w:r>
            <w:r>
              <w:rPr>
                <w:rFonts w:ascii="Times New Roman" w:eastAsia="Times New Roman" w:hAnsi="Times New Roman" w:cs="Times New Roman"/>
                <w:color w:val="FF0000"/>
                <w:sz w:val="24"/>
                <w:szCs w:val="24"/>
                <w:u w:val="single"/>
              </w:rPr>
              <w:t xml:space="preserve">de las Propiedades Horizontales de uso residencial </w:t>
            </w:r>
            <w:r>
              <w:rPr>
                <w:rFonts w:ascii="Times New Roman" w:eastAsia="Times New Roman" w:hAnsi="Times New Roman" w:cs="Times New Roman"/>
                <w:sz w:val="24"/>
                <w:szCs w:val="24"/>
              </w:rPr>
              <w:t>y el sistema de videovigilancia de la ciudad, administrado por el Centro de Comando, Control, Comunicaciones y Cómputo (C4).</w:t>
            </w:r>
          </w:p>
        </w:tc>
        <w:tc>
          <w:tcPr>
            <w:tcW w:w="2940" w:type="dxa"/>
            <w:vAlign w:val="center"/>
          </w:tcPr>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eliminó la referencia al Instituto Distrital de la Participación y Acción Comunal (IDPAC), ya que su misionalidad no está relacionada con la gestión de videovigilancia ni con la interoperabilidad de sistemas de seguridad. </w:t>
            </w:r>
          </w:p>
          <w:p w:rsidR="00FF4427" w:rsidRDefault="00FF4427">
            <w:pPr>
              <w:jc w:val="both"/>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 reemplazó el término “promover” por “optimizar”, dado que la interoperabilidad entre los sistemas de videovigilancia ya existe, y el enfoque debe estar en mejorar su funcionamiento y articulación.</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6. Protocolo de Violencia Intrafamiliar.</w:t>
            </w:r>
            <w:r>
              <w:rPr>
                <w:rFonts w:ascii="Times New Roman" w:eastAsia="Times New Roman" w:hAnsi="Times New Roman" w:cs="Times New Roman"/>
                <w:sz w:val="24"/>
                <w:szCs w:val="24"/>
              </w:rPr>
              <w:t xml:space="preserve"> La Administración Distrital </w:t>
            </w:r>
            <w:r>
              <w:rPr>
                <w:rFonts w:ascii="Times New Roman" w:eastAsia="Times New Roman" w:hAnsi="Times New Roman" w:cs="Times New Roman"/>
                <w:sz w:val="24"/>
                <w:szCs w:val="24"/>
              </w:rPr>
              <w:lastRenderedPageBreak/>
              <w:t xml:space="preserve">establecerá un protocolo de articulación con las entidades competentes para activar la ruta adecuada en caso de presentarse situaciones de violencia intrafamiliar dentro de las propiedades horizontales del distrito. </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La Secretaría de Seguridad, Convivencia y Justicia, en coordinación con la Secretaría Distrital de la Mujer, deberá reglamentar la implementación de los protocolos de atención de violencia intrafamiliar en un plazo no mayor a seis (6) meses a partir de la sanción del presente acuerdo.</w:t>
            </w:r>
          </w:p>
        </w:tc>
        <w:tc>
          <w:tcPr>
            <w:tcW w:w="2925" w:type="dxa"/>
            <w:vAlign w:val="center"/>
          </w:tcPr>
          <w:p w:rsidR="00FF4427" w:rsidRDefault="000E45D6">
            <w:pPr>
              <w:spacing w:before="240" w:after="240" w:line="256" w:lineRule="auto"/>
              <w:jc w:val="both"/>
              <w:rPr>
                <w:rFonts w:ascii="Times New Roman" w:eastAsia="Times New Roman" w:hAnsi="Times New Roman" w:cs="Times New Roman"/>
                <w:b/>
                <w:color w:val="FF0000"/>
                <w:sz w:val="24"/>
                <w:szCs w:val="24"/>
                <w:u w:val="single"/>
              </w:rPr>
            </w:pPr>
            <w:r>
              <w:rPr>
                <w:rFonts w:ascii="Times New Roman" w:eastAsia="Times New Roman" w:hAnsi="Times New Roman" w:cs="Times New Roman"/>
                <w:b/>
                <w:color w:val="FF0000"/>
                <w:sz w:val="24"/>
                <w:szCs w:val="24"/>
                <w:u w:val="single"/>
              </w:rPr>
              <w:lastRenderedPageBreak/>
              <w:t xml:space="preserve">Artículo 6. Sensibilización y difusión de Protocolos de Atención en Casos de </w:t>
            </w:r>
            <w:r>
              <w:rPr>
                <w:rFonts w:ascii="Times New Roman" w:eastAsia="Times New Roman" w:hAnsi="Times New Roman" w:cs="Times New Roman"/>
                <w:b/>
                <w:color w:val="FF0000"/>
                <w:sz w:val="24"/>
                <w:szCs w:val="24"/>
                <w:u w:val="single"/>
              </w:rPr>
              <w:lastRenderedPageBreak/>
              <w:t>Violencia Intrafamiliar en Propiedad Horizontal.</w:t>
            </w:r>
            <w:r>
              <w:rPr>
                <w:rFonts w:ascii="Times New Roman" w:eastAsia="Times New Roman" w:hAnsi="Times New Roman" w:cs="Times New Roman"/>
                <w:color w:val="FF0000"/>
                <w:sz w:val="24"/>
                <w:szCs w:val="24"/>
                <w:u w:val="single"/>
              </w:rPr>
              <w:t xml:space="preserve"> </w:t>
            </w:r>
            <w:r>
              <w:rPr>
                <w:rFonts w:ascii="Times New Roman" w:eastAsia="Times New Roman" w:hAnsi="Times New Roman" w:cs="Times New Roman"/>
                <w:sz w:val="24"/>
                <w:szCs w:val="24"/>
              </w:rPr>
              <w:t xml:space="preserve">La </w:t>
            </w:r>
            <w:r>
              <w:rPr>
                <w:rFonts w:ascii="Times New Roman" w:eastAsia="Times New Roman" w:hAnsi="Times New Roman" w:cs="Times New Roman"/>
                <w:color w:val="FF0000"/>
                <w:sz w:val="24"/>
                <w:szCs w:val="24"/>
                <w:u w:val="single"/>
              </w:rPr>
              <w:t>Secretaría Distrital de Seguridad, Convivencia y Justicia, en coordinación con la Secretaría Distrital de la Mujer y las Comisarías de Familia, desarrollará estrategias de sensibilización y difusión sobre los protocolos de atención existentes en casos de violencia intrafamiliar, garantizando que las copropiedades de uso residencial conozcan y articulen sus acciones con las rutas de atención distritales</w:t>
            </w:r>
          </w:p>
        </w:tc>
        <w:tc>
          <w:tcPr>
            <w:tcW w:w="2940" w:type="dxa"/>
            <w:vAlign w:val="center"/>
          </w:tcPr>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Se incorporó a las Comisarías de Familia, ya que son entidades clave en la atención de casos de </w:t>
            </w:r>
            <w:r>
              <w:rPr>
                <w:rFonts w:ascii="Times New Roman" w:eastAsia="Times New Roman" w:hAnsi="Times New Roman" w:cs="Times New Roman"/>
                <w:sz w:val="24"/>
                <w:szCs w:val="24"/>
              </w:rPr>
              <w:lastRenderedPageBreak/>
              <w:t>violencia intrafamiliar. Se eliminó la referencia a la adopción de protocolos, pues el enfoque del artículo no es crearlos, sino sensibilizar y difundir los ya existentes. Se mantiene la reglamentación en términos de mecanismos de articulación y difusión, asegurando que las copropiedades conozcan y faciliten el acceso a las rutas de atención sin comprometer su autonomía</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Artículo 7: Reglamentación. </w:t>
            </w:r>
            <w:r>
              <w:rPr>
                <w:rFonts w:ascii="Times New Roman" w:eastAsia="Times New Roman" w:hAnsi="Times New Roman" w:cs="Times New Roman"/>
                <w:sz w:val="24"/>
                <w:szCs w:val="24"/>
              </w:rPr>
              <w:t xml:space="preserve">La administración distrital reglamentará el presente acuerdo dentro de los cuatro (6) meses siguientes a su promulgación. </w:t>
            </w:r>
          </w:p>
        </w:tc>
        <w:tc>
          <w:tcPr>
            <w:tcW w:w="2925" w:type="dxa"/>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Sin Modificaciones</w:t>
            </w:r>
          </w:p>
        </w:tc>
        <w:tc>
          <w:tcPr>
            <w:tcW w:w="2940" w:type="dxa"/>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Sin Modificaciones</w:t>
            </w:r>
          </w:p>
        </w:tc>
      </w:tr>
      <w:tr w:rsidR="00FF4427">
        <w:tc>
          <w:tcPr>
            <w:tcW w:w="3225" w:type="dxa"/>
            <w:vAlign w:val="center"/>
          </w:tcPr>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Artículo 8: Vigencia. </w:t>
            </w:r>
            <w:r>
              <w:rPr>
                <w:rFonts w:ascii="Times New Roman" w:eastAsia="Times New Roman" w:hAnsi="Times New Roman" w:cs="Times New Roman"/>
                <w:sz w:val="24"/>
                <w:szCs w:val="24"/>
              </w:rPr>
              <w:t xml:space="preserve">El presente acuerdo entrará en vigencia a partir de la fecha de su promulgación. </w:t>
            </w:r>
          </w:p>
        </w:tc>
        <w:tc>
          <w:tcPr>
            <w:tcW w:w="2925" w:type="dxa"/>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Sin Modificaciones </w:t>
            </w:r>
          </w:p>
        </w:tc>
        <w:tc>
          <w:tcPr>
            <w:tcW w:w="2940" w:type="dxa"/>
            <w:vAlign w:val="center"/>
          </w:tcPr>
          <w:p w:rsidR="00FF4427" w:rsidRDefault="000E45D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Sin Modificaciones </w:t>
            </w:r>
          </w:p>
        </w:tc>
      </w:tr>
    </w:tbl>
    <w:p w:rsidR="00FF4427" w:rsidRDefault="00FF4427">
      <w:pPr>
        <w:spacing w:after="160" w:line="259" w:lineRule="auto"/>
        <w:jc w:val="both"/>
        <w:rPr>
          <w:rFonts w:ascii="Times New Roman" w:eastAsia="Times New Roman" w:hAnsi="Times New Roman" w:cs="Times New Roman"/>
          <w:sz w:val="24"/>
          <w:szCs w:val="24"/>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FF4427">
      <w:pPr>
        <w:spacing w:after="160" w:line="259" w:lineRule="auto"/>
        <w:jc w:val="both"/>
        <w:rPr>
          <w:rFonts w:ascii="Times New Roman" w:eastAsia="Times New Roman" w:hAnsi="Times New Roman" w:cs="Times New Roman"/>
          <w:b/>
          <w:sz w:val="24"/>
          <w:szCs w:val="24"/>
          <w:highlight w:val="yellow"/>
        </w:rPr>
      </w:pPr>
    </w:p>
    <w:p w:rsidR="00FF4427" w:rsidRDefault="000E45D6">
      <w:pPr>
        <w:spacing w:after="16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IX. TEXTO PROPUESTO PARA PRIMER DEBATE CON MODIFICACIONES </w:t>
      </w:r>
    </w:p>
    <w:p w:rsidR="00FF4427" w:rsidRDefault="000E45D6">
      <w:pPr>
        <w:spacing w:after="16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Proyecto de Acuerdo Nº 161 de 2025</w:t>
      </w:r>
    </w:p>
    <w:p w:rsidR="00FF4427" w:rsidRDefault="000E45D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“POR MEDIO DEL CUAL SE PROMUEVE LA SEGURIDAD Y CONVIVENCIA EN LAS COPROPIEDADES DE USO RESIDENCIAL SUJETAS AL RÉGIMEN DE PROPIEDAD HORIZONTAL EN EL DISTRITO CAPITAL” </w:t>
      </w:r>
    </w:p>
    <w:p w:rsidR="00FF4427" w:rsidRDefault="00FF4427">
      <w:pPr>
        <w:spacing w:after="160" w:line="259" w:lineRule="auto"/>
        <w:jc w:val="center"/>
        <w:rPr>
          <w:rFonts w:ascii="Times New Roman" w:eastAsia="Times New Roman" w:hAnsi="Times New Roman" w:cs="Times New Roman"/>
          <w:b/>
          <w:sz w:val="24"/>
          <w:szCs w:val="24"/>
        </w:rPr>
      </w:pPr>
    </w:p>
    <w:p w:rsidR="00FF4427" w:rsidRDefault="000E45D6">
      <w:pPr>
        <w:spacing w:after="16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 CONCEJO DE BOGOTÁ D.C.,</w:t>
      </w:r>
    </w:p>
    <w:p w:rsidR="00FF4427" w:rsidRDefault="000E45D6">
      <w:pPr>
        <w:spacing w:after="16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En uso de sus facultades constitucionales y legales, en especial las conferidas por el numeral 1, 13 y 25 del artículo 12 del Decreto Ley 1421 de 1993</w:t>
      </w:r>
    </w:p>
    <w:p w:rsidR="00FF4427" w:rsidRDefault="000E45D6">
      <w:pPr>
        <w:spacing w:after="160" w:line="259"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ACUERDA</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1. Objeto del Acuerdo. </w:t>
      </w:r>
      <w:r>
        <w:rPr>
          <w:rFonts w:ascii="Times New Roman" w:eastAsia="Times New Roman" w:hAnsi="Times New Roman" w:cs="Times New Roman"/>
          <w:sz w:val="24"/>
          <w:szCs w:val="24"/>
        </w:rPr>
        <w:t xml:space="preserve">El presente acuerdo tiene como objeto establecer lineamientos para fortalecer la seguridad y convivencia en las copropiedades de uso residencial sujetas al régimen de propiedad horizontal en el Distrito Capital, garantizando entornos seguros para quienes habitan, trabajan o transitan en ellas, así como para la preservación de sus bienes e infraestructura. </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2. Coordinación. </w:t>
      </w:r>
      <w:r>
        <w:rPr>
          <w:rFonts w:ascii="Times New Roman" w:eastAsia="Times New Roman" w:hAnsi="Times New Roman" w:cs="Times New Roman"/>
          <w:sz w:val="24"/>
          <w:szCs w:val="24"/>
        </w:rPr>
        <w:t>La Administración Distrital, en cabeza de la Secretaría Distrital de Seguridad Convivencia y Justicia, establecerá mecanismos de articulación con las copropiedades de uso residencial y las autoridades competentes para fortalecer la seguridad integral en estos espacios.</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Estos mecanismos incluirán la colaboración continua con la Policía Metropolitana de Bogotá, las Alcaldías Locales, las empresas de seguridad privada y otras entidades distritales, con el propósito de coordinar esfuerzos, brindar asesoramiento técnico y operativo en seguridad, y promover la adopción de medidas preventivas al interior y alrededores de las copropiedades. </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3. Campañas de Difusión. </w:t>
      </w:r>
      <w:r>
        <w:rPr>
          <w:rFonts w:ascii="Times New Roman" w:eastAsia="Times New Roman" w:hAnsi="Times New Roman" w:cs="Times New Roman"/>
          <w:sz w:val="24"/>
          <w:szCs w:val="24"/>
        </w:rPr>
        <w:t xml:space="preserve">El Instituto Distrital de la Participación y Acción Comunal, en articulación con la Secretaría Distrital de Seguridad, Convivencia y Justicia, </w:t>
      </w:r>
      <w:r>
        <w:rPr>
          <w:rFonts w:ascii="Times New Roman" w:eastAsia="Times New Roman" w:hAnsi="Times New Roman" w:cs="Times New Roman"/>
          <w:sz w:val="24"/>
          <w:szCs w:val="24"/>
        </w:rPr>
        <w:lastRenderedPageBreak/>
        <w:t>desarrollará estrategias de sensibilización sobre la seguridad integral en las copropiedades de uso residencial. Para lograrlo, se llevarán a cabo campañas pedagógicas de difusión de  información sobre medidas de prevención y convivencia, y fortalecimiento de la cultura del cuidado colectivo, promoviendo entornos más seguros para quienes habitan, trabajan o transitan en estos espacios.</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4. Acompañamiento y asesoría en seguridad. </w:t>
      </w:r>
      <w:r>
        <w:rPr>
          <w:rFonts w:ascii="Times New Roman" w:eastAsia="Times New Roman" w:hAnsi="Times New Roman" w:cs="Times New Roman"/>
          <w:sz w:val="24"/>
          <w:szCs w:val="24"/>
        </w:rPr>
        <w:t>La Administración Distrital, a través de la Secretaría Distrital de Seguridad, Convivencia y Justicia, en coordinación con las Alcaldías Locales, brindará asesoría técnica y acompañamiento a las copropiedades de uso residencial en la creación, actualización y fortalecimiento de sus protocolos de seguridad.</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Este apoyo estará enfocado en garantizar que dichos protocolos sean integrales, ajustados a la normatividad vigente, promuevan la convivencia y fortalezcan la articulación con las autoridades distritales. Asimismo, se impulsará la capacitación de administradores, residentes y trabajadores en estrategias de prevención y respuesta ante situaciones que afecten la seguridad en las copropiedades.</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acompañamiento respetará la autonomía de cada copropiedad, proporcionando herramientas y lineamientos sin intervenir en la definición de sus reglamentos internos. </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Parágrafo.</w:t>
      </w:r>
      <w:r>
        <w:rPr>
          <w:rFonts w:ascii="Times New Roman" w:eastAsia="Times New Roman" w:hAnsi="Times New Roman" w:cs="Times New Roman"/>
          <w:sz w:val="24"/>
          <w:szCs w:val="24"/>
        </w:rPr>
        <w:t xml:space="preserve"> Se propenderá por brindar acompañamiento en materia de Protección y Bienestar Animal a aquellas copropiedades sujetas al régimen de propiedad horizontal que contemplen en su esquema de seguridad el acompañamiento de animales domésticos.</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Además, la Secretaría Distrital de Seguridad, en colaboración con las Alcaldías locales, realizará un diagnóstico de las medidas de seguridad y capacitación con las que cuentan las copropiedades de propiedad horizontal en el Distrito Capital. </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5. Optimización de la  Interoperabilidad de Sistemas de Videovigilancia en Conjuntos Residenciales. </w:t>
      </w:r>
      <w:r>
        <w:rPr>
          <w:rFonts w:ascii="Times New Roman" w:eastAsia="Times New Roman" w:hAnsi="Times New Roman" w:cs="Times New Roman"/>
          <w:sz w:val="24"/>
          <w:szCs w:val="24"/>
        </w:rPr>
        <w:t>La Secretaría de Seguridad, Convivencia y Justicia, en coordinación con el Instituto Distrital de la Participación y Acción Comunal (IDPAC), optimizará la interoperabilidad entre los sistemas de videovigilancia de las Propiedades Horizontales de uso residencial y el sistema de videovigilancia de la ciudad, administrado por el Centro de Comando, Control, Comunicaciones y Cómputo (C4).</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6. Sensibilización y difusión de Protocolos de Atención en Casos de Violencia Intrafamiliar en Propiedad Horizontal.</w:t>
      </w:r>
      <w:r>
        <w:rPr>
          <w:rFonts w:ascii="Times New Roman" w:eastAsia="Times New Roman" w:hAnsi="Times New Roman" w:cs="Times New Roman"/>
          <w:sz w:val="24"/>
          <w:szCs w:val="24"/>
        </w:rPr>
        <w:t xml:space="preserve"> La Secretaría Distrital de Seguridad, Convivencia y Justicia, en coordinación con la Secretaría Distrital de la Mujer y las Comisarías de Familia, </w:t>
      </w:r>
      <w:r>
        <w:rPr>
          <w:rFonts w:ascii="Times New Roman" w:eastAsia="Times New Roman" w:hAnsi="Times New Roman" w:cs="Times New Roman"/>
          <w:sz w:val="24"/>
          <w:szCs w:val="24"/>
        </w:rPr>
        <w:lastRenderedPageBreak/>
        <w:t>desarrollará estrategias de sensibilización y difusión sobre los protocolos de atención existentes en casos de violencia intrafamiliar, garantizando que las copropiedades de uso residencial conozcan y articulen sus acciones con las rutas de atención distritales</w:t>
      </w:r>
    </w:p>
    <w:p w:rsidR="00FF4427" w:rsidRDefault="000E45D6">
      <w:pPr>
        <w:spacing w:before="240" w:after="240" w:line="25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7: Reglamentación. </w:t>
      </w:r>
      <w:r>
        <w:rPr>
          <w:rFonts w:ascii="Times New Roman" w:eastAsia="Times New Roman" w:hAnsi="Times New Roman" w:cs="Times New Roman"/>
          <w:sz w:val="24"/>
          <w:szCs w:val="24"/>
        </w:rPr>
        <w:t xml:space="preserve">La administración distrital reglamentará el presente acuerdo dentro de los cuatro (6) meses siguientes a su promulgación. </w:t>
      </w:r>
    </w:p>
    <w:p w:rsidR="00FF4427" w:rsidRDefault="000E45D6">
      <w:pPr>
        <w:spacing w:before="240" w:after="240" w:line="25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Artículo 8: Vigencia. </w:t>
      </w:r>
      <w:r>
        <w:rPr>
          <w:rFonts w:ascii="Times New Roman" w:eastAsia="Times New Roman" w:hAnsi="Times New Roman" w:cs="Times New Roman"/>
          <w:sz w:val="24"/>
          <w:szCs w:val="24"/>
        </w:rPr>
        <w:t xml:space="preserve">El presente acuerdo entrará en vigencia a partir de la fecha de su promulgación. </w:t>
      </w:r>
    </w:p>
    <w:p w:rsidR="00FF4427" w:rsidRDefault="00FF4427">
      <w:pPr>
        <w:spacing w:after="160" w:line="259" w:lineRule="auto"/>
        <w:jc w:val="both"/>
        <w:rPr>
          <w:rFonts w:ascii="Times New Roman" w:eastAsia="Times New Roman" w:hAnsi="Times New Roman" w:cs="Times New Roman"/>
          <w:b/>
          <w:sz w:val="24"/>
          <w:szCs w:val="24"/>
        </w:rPr>
      </w:pPr>
    </w:p>
    <w:p w:rsidR="00FF4427" w:rsidRDefault="000E45D6">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X. CONCLUSIÓN</w:t>
      </w:r>
    </w:p>
    <w:p w:rsidR="00FF4427" w:rsidRDefault="000E45D6">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Considerando los argumentos expuestos y en cumplimiento de los requisitos establecidos en el artículo 71 del Acuerdo 741 de 2019, nos permitimos presentar </w:t>
      </w:r>
      <w:r>
        <w:rPr>
          <w:rFonts w:ascii="Times New Roman" w:eastAsia="Times New Roman" w:hAnsi="Times New Roman" w:cs="Times New Roman"/>
          <w:b/>
          <w:sz w:val="24"/>
          <w:szCs w:val="24"/>
        </w:rPr>
        <w:t>PONENCIA POSITIVA CONJUNTA CON MODIFICACIONES</w:t>
      </w:r>
      <w:r>
        <w:rPr>
          <w:rFonts w:ascii="Times New Roman" w:eastAsia="Times New Roman" w:hAnsi="Times New Roman" w:cs="Times New Roman"/>
          <w:sz w:val="24"/>
          <w:szCs w:val="24"/>
        </w:rPr>
        <w:t xml:space="preserve"> al Proyecto de Acuerdo No. 161 de 2025 “Por medio del cual se promueve la seguridad en las copropiedades sujetas al régimen de propiedad horizontal en el Distrito Capital”</w:t>
      </w:r>
    </w:p>
    <w:p w:rsidR="00FF4427" w:rsidRDefault="00FF4427">
      <w:pPr>
        <w:spacing w:after="160" w:line="259" w:lineRule="auto"/>
        <w:jc w:val="both"/>
        <w:rPr>
          <w:rFonts w:ascii="Times New Roman" w:eastAsia="Times New Roman" w:hAnsi="Times New Roman" w:cs="Times New Roman"/>
          <w:sz w:val="24"/>
          <w:szCs w:val="24"/>
        </w:rPr>
      </w:pPr>
    </w:p>
    <w:p w:rsidR="00FF4427" w:rsidRDefault="000E45D6">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Cordialmente, </w:t>
      </w:r>
    </w:p>
    <w:p w:rsidR="00FF4427" w:rsidRDefault="00FF4427">
      <w:pPr>
        <w:spacing w:after="160" w:line="259" w:lineRule="auto"/>
        <w:jc w:val="both"/>
        <w:rPr>
          <w:rFonts w:ascii="Times New Roman" w:eastAsia="Times New Roman" w:hAnsi="Times New Roman" w:cs="Times New Roman"/>
          <w:sz w:val="24"/>
          <w:szCs w:val="24"/>
        </w:rPr>
      </w:pPr>
    </w:p>
    <w:p w:rsidR="00FF4427" w:rsidRDefault="00FF4427">
      <w:pPr>
        <w:spacing w:after="160" w:line="259" w:lineRule="auto"/>
        <w:jc w:val="both"/>
        <w:rPr>
          <w:rFonts w:ascii="Times New Roman" w:eastAsia="Times New Roman" w:hAnsi="Times New Roman" w:cs="Times New Roman"/>
          <w:sz w:val="24"/>
          <w:szCs w:val="24"/>
        </w:rPr>
        <w:sectPr w:rsidR="00FF4427">
          <w:type w:val="continuous"/>
          <w:pgSz w:w="12240" w:h="15840"/>
          <w:pgMar w:top="1417" w:right="1701" w:bottom="1417" w:left="1701" w:header="708" w:footer="708" w:gutter="0"/>
          <w:cols w:space="720"/>
        </w:sectPr>
      </w:pPr>
    </w:p>
    <w:p w:rsidR="00FF4427" w:rsidRDefault="000E45D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JULIÁN RODRÍGUEZ SASTOQUE   </w:t>
      </w:r>
    </w:p>
    <w:p w:rsidR="00FF4427" w:rsidRDefault="000E45D6">
      <w:pPr>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D.C.</w:t>
      </w:r>
    </w:p>
    <w:p w:rsidR="00FF4427" w:rsidRDefault="000E45D6">
      <w:pPr>
        <w:rPr>
          <w:rFonts w:ascii="Times New Roman" w:eastAsia="Times New Roman" w:hAnsi="Times New Roman" w:cs="Times New Roman"/>
          <w:sz w:val="24"/>
          <w:szCs w:val="24"/>
        </w:rPr>
      </w:pPr>
      <w:r>
        <w:rPr>
          <w:rFonts w:ascii="Times New Roman" w:eastAsia="Times New Roman" w:hAnsi="Times New Roman" w:cs="Times New Roman"/>
          <w:sz w:val="24"/>
          <w:szCs w:val="24"/>
        </w:rPr>
        <w:t>Partido Alianza Verde</w:t>
      </w:r>
    </w:p>
    <w:p w:rsidR="00FF4427" w:rsidRDefault="000E45D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Coordinador ponente.  </w:t>
      </w:r>
    </w:p>
    <w:p w:rsidR="00FF4427" w:rsidRDefault="00FF4427">
      <w:pPr>
        <w:rPr>
          <w:rFonts w:ascii="Times New Roman" w:eastAsia="Times New Roman" w:hAnsi="Times New Roman" w:cs="Times New Roman"/>
          <w:sz w:val="24"/>
          <w:szCs w:val="24"/>
        </w:rPr>
      </w:pPr>
    </w:p>
    <w:p w:rsidR="00FF4427" w:rsidRDefault="00FF4427">
      <w:pPr>
        <w:jc w:val="both"/>
        <w:rPr>
          <w:rFonts w:ascii="Times New Roman" w:eastAsia="Times New Roman" w:hAnsi="Times New Roman" w:cs="Times New Roman"/>
          <w:sz w:val="24"/>
          <w:szCs w:val="24"/>
          <w:highlight w:val="yellow"/>
        </w:rPr>
      </w:pPr>
    </w:p>
    <w:p w:rsidR="00FF4427" w:rsidRDefault="00FF4427">
      <w:pPr>
        <w:jc w:val="both"/>
        <w:rPr>
          <w:rFonts w:ascii="Times New Roman" w:eastAsia="Times New Roman" w:hAnsi="Times New Roman" w:cs="Times New Roman"/>
          <w:sz w:val="24"/>
          <w:szCs w:val="24"/>
          <w:highlight w:val="yellow"/>
        </w:rPr>
      </w:pPr>
    </w:p>
    <w:p w:rsidR="00FF4427" w:rsidRDefault="000E45D6">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FERNANDO LÓPEZ GUTIÉRREZ</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D.C.</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Partido Nuevo Liberalismo.</w:t>
      </w: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Ponente.</w:t>
      </w:r>
    </w:p>
    <w:p w:rsidR="00FF4427" w:rsidRDefault="00FF4427">
      <w:pPr>
        <w:rPr>
          <w:rFonts w:ascii="Times New Roman" w:eastAsia="Times New Roman" w:hAnsi="Times New Roman" w:cs="Times New Roman"/>
          <w:sz w:val="24"/>
          <w:szCs w:val="24"/>
        </w:rPr>
      </w:pPr>
    </w:p>
    <w:p w:rsidR="00FF4427" w:rsidRDefault="00FF4427">
      <w:pPr>
        <w:rPr>
          <w:rFonts w:ascii="Times New Roman" w:eastAsia="Times New Roman" w:hAnsi="Times New Roman" w:cs="Times New Roman"/>
          <w:sz w:val="24"/>
          <w:szCs w:val="24"/>
        </w:rPr>
        <w:sectPr w:rsidR="00FF4427">
          <w:type w:val="continuous"/>
          <w:pgSz w:w="12240" w:h="15840"/>
          <w:pgMar w:top="1417" w:right="1701" w:bottom="1417" w:left="1701" w:header="708" w:footer="708" w:gutter="0"/>
          <w:cols w:num="2" w:space="720" w:equalWidth="0">
            <w:col w:w="4059" w:space="720"/>
            <w:col w:w="4059" w:space="0"/>
          </w:cols>
        </w:sectPr>
      </w:pPr>
    </w:p>
    <w:p w:rsidR="00FF4427" w:rsidRDefault="00FF4427">
      <w:pPr>
        <w:rPr>
          <w:rFonts w:ascii="Times New Roman" w:eastAsia="Times New Roman" w:hAnsi="Times New Roman" w:cs="Times New Roman"/>
          <w:sz w:val="24"/>
          <w:szCs w:val="24"/>
        </w:rPr>
      </w:pPr>
    </w:p>
    <w:p w:rsidR="00FF4427" w:rsidRDefault="000E45D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sectPr w:rsidR="00FF4427">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FCB" w:rsidRDefault="000E45D6">
      <w:pPr>
        <w:spacing w:line="240" w:lineRule="auto"/>
      </w:pPr>
      <w:r>
        <w:separator/>
      </w:r>
    </w:p>
  </w:endnote>
  <w:endnote w:type="continuationSeparator" w:id="0">
    <w:p w:rsidR="00217FCB" w:rsidRDefault="000E45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FCB" w:rsidRDefault="000E45D6">
      <w:pPr>
        <w:spacing w:line="240" w:lineRule="auto"/>
      </w:pPr>
      <w:r>
        <w:separator/>
      </w:r>
    </w:p>
  </w:footnote>
  <w:footnote w:type="continuationSeparator" w:id="0">
    <w:p w:rsidR="00217FCB" w:rsidRDefault="000E45D6">
      <w:pPr>
        <w:spacing w:line="240" w:lineRule="auto"/>
      </w:pPr>
      <w:r>
        <w:continuationSeparator/>
      </w:r>
    </w:p>
  </w:footnote>
  <w:footnote w:id="1">
    <w:p w:rsidR="00FF4427" w:rsidRDefault="000E45D6">
      <w:pPr>
        <w:spacing w:line="240" w:lineRule="auto"/>
        <w:rPr>
          <w:sz w:val="20"/>
          <w:szCs w:val="20"/>
        </w:rPr>
      </w:pPr>
      <w:r>
        <w:rPr>
          <w:vertAlign w:val="superscript"/>
        </w:rPr>
        <w:footnoteRef/>
      </w:r>
      <w:r>
        <w:rPr>
          <w:sz w:val="20"/>
          <w:szCs w:val="20"/>
        </w:rPr>
        <w:t xml:space="preserve"> Unidad Administrativa Especial de Catastro Distrital (2024) CENSO INMOBILIARIO BOGOTÁ 2024. Recuperado de: </w:t>
      </w:r>
      <w:hyperlink r:id="rId1">
        <w:r>
          <w:rPr>
            <w:color w:val="1155CC"/>
            <w:sz w:val="20"/>
            <w:szCs w:val="20"/>
            <w:u w:val="single"/>
          </w:rPr>
          <w:t>https://www.catastrobogota.gov.co/sites/default/files/recursos/Documento%20censo%20V%2022-04%20%281%29_compressed.pdf</w:t>
        </w:r>
      </w:hyperlink>
      <w:r>
        <w:rPr>
          <w:sz w:val="20"/>
          <w:szCs w:val="20"/>
        </w:rPr>
        <w:t xml:space="preserve"> </w:t>
      </w:r>
    </w:p>
  </w:footnote>
  <w:footnote w:id="2">
    <w:p w:rsidR="00FF4427" w:rsidRDefault="000E45D6">
      <w:pPr>
        <w:spacing w:line="240" w:lineRule="auto"/>
        <w:jc w:val="both"/>
        <w:rPr>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 xml:space="preserve">Ministerio de Vivienda, Ciudad y Territorio (2020) Análisis de capacidades y entorno del Ministerio de Vivienda, Ciudad y Territorio. Bogota: MVCT.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427" w:rsidRDefault="00FF4427">
    <w:pPr>
      <w:widowControl w:val="0"/>
      <w:jc w:val="center"/>
      <w:rPr>
        <w:b/>
      </w:rPr>
    </w:pPr>
  </w:p>
  <w:tbl>
    <w:tblPr>
      <w:tblStyle w:val="a0"/>
      <w:tblpPr w:leftFromText="180" w:rightFromText="180" w:topFromText="180" w:bottomFromText="180" w:vertAnchor="text"/>
      <w:tblW w:w="8830" w:type="dxa"/>
      <w:tblInd w:w="0" w:type="dxa"/>
      <w:tblLayout w:type="fixed"/>
      <w:tblLook w:val="0000" w:firstRow="0" w:lastRow="0" w:firstColumn="0" w:lastColumn="0" w:noHBand="0" w:noVBand="0"/>
    </w:tblPr>
    <w:tblGrid>
      <w:gridCol w:w="2361"/>
      <w:gridCol w:w="4235"/>
      <w:gridCol w:w="2234"/>
    </w:tblGrid>
    <w:tr w:rsidR="00FF4427">
      <w:trPr>
        <w:trHeight w:val="440"/>
      </w:trPr>
      <w:tc>
        <w:tcPr>
          <w:tcW w:w="2361" w:type="dxa"/>
          <w:vMerge w:val="restart"/>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b/>
              <w:sz w:val="16"/>
              <w:szCs w:val="16"/>
            </w:rPr>
          </w:pPr>
          <w:r>
            <w:rPr>
              <w:b/>
              <w:noProof/>
              <w:sz w:val="16"/>
              <w:szCs w:val="16"/>
              <w:lang w:val="es-419"/>
            </w:rPr>
            <w:drawing>
              <wp:inline distT="0" distB="0" distL="0" distR="0">
                <wp:extent cx="749935" cy="88392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sz w:val="18"/>
              <w:szCs w:val="18"/>
            </w:rPr>
          </w:pPr>
          <w:r>
            <w:rPr>
              <w:sz w:val="18"/>
              <w:szCs w:val="18"/>
            </w:rPr>
            <w:t>PROCESO GESTIÓN NORMATIVA</w:t>
          </w:r>
        </w:p>
      </w:tc>
      <w:tc>
        <w:tcPr>
          <w:tcW w:w="2234" w:type="dxa"/>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sz w:val="16"/>
              <w:szCs w:val="16"/>
            </w:rPr>
          </w:pPr>
          <w:r>
            <w:rPr>
              <w:sz w:val="16"/>
              <w:szCs w:val="16"/>
            </w:rPr>
            <w:t>CÓDIGO</w:t>
          </w:r>
          <w:r>
            <w:rPr>
              <w:color w:val="3366FF"/>
              <w:sz w:val="16"/>
              <w:szCs w:val="16"/>
            </w:rPr>
            <w:t xml:space="preserve">: </w:t>
          </w:r>
          <w:r>
            <w:rPr>
              <w:sz w:val="16"/>
              <w:szCs w:val="16"/>
            </w:rPr>
            <w:t>GN-PR001- FO2</w:t>
          </w:r>
        </w:p>
      </w:tc>
    </w:tr>
    <w:tr w:rsidR="00FF4427">
      <w:trPr>
        <w:trHeight w:val="440"/>
      </w:trPr>
      <w:tc>
        <w:tcPr>
          <w:tcW w:w="2361" w:type="dxa"/>
          <w:vMerge/>
          <w:tcBorders>
            <w:top w:val="single" w:sz="4" w:space="0" w:color="000000"/>
            <w:left w:val="single" w:sz="4" w:space="0" w:color="000000"/>
            <w:bottom w:val="single" w:sz="4" w:space="0" w:color="000000"/>
            <w:right w:val="single" w:sz="4" w:space="0" w:color="000000"/>
          </w:tcBorders>
          <w:vAlign w:val="center"/>
        </w:tcPr>
        <w:p w:rsidR="00FF4427" w:rsidRDefault="00FF4427">
          <w:pPr>
            <w:widowControl w:val="0"/>
            <w:spacing w:line="276" w:lineRule="auto"/>
            <w:rPr>
              <w:sz w:val="16"/>
              <w:szCs w:val="16"/>
            </w:rPr>
          </w:pPr>
        </w:p>
      </w:tc>
      <w:tc>
        <w:tcPr>
          <w:tcW w:w="4235" w:type="dxa"/>
          <w:vMerge w:val="restart"/>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sz w:val="20"/>
              <w:szCs w:val="20"/>
            </w:rPr>
          </w:pPr>
          <w:r>
            <w:rPr>
              <w:sz w:val="20"/>
              <w:szCs w:val="20"/>
            </w:rPr>
            <w:t>PRESENTACIÓN PONENCIAS</w:t>
          </w:r>
        </w:p>
      </w:tc>
      <w:tc>
        <w:tcPr>
          <w:tcW w:w="2234" w:type="dxa"/>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sz w:val="16"/>
              <w:szCs w:val="16"/>
            </w:rPr>
          </w:pPr>
          <w:r>
            <w:rPr>
              <w:sz w:val="16"/>
              <w:szCs w:val="16"/>
            </w:rPr>
            <w:t>VERSIÓN:    01</w:t>
          </w:r>
        </w:p>
      </w:tc>
    </w:tr>
    <w:tr w:rsidR="00FF4427">
      <w:trPr>
        <w:trHeight w:val="440"/>
      </w:trPr>
      <w:tc>
        <w:tcPr>
          <w:tcW w:w="2361" w:type="dxa"/>
          <w:vMerge/>
          <w:tcBorders>
            <w:top w:val="single" w:sz="4" w:space="0" w:color="000000"/>
            <w:left w:val="single" w:sz="4" w:space="0" w:color="000000"/>
            <w:right w:val="single" w:sz="4" w:space="0" w:color="000000"/>
          </w:tcBorders>
          <w:vAlign w:val="center"/>
        </w:tcPr>
        <w:p w:rsidR="00FF4427" w:rsidRDefault="00FF4427">
          <w:pPr>
            <w:widowControl w:val="0"/>
            <w:spacing w:line="276" w:lineRule="auto"/>
            <w:rPr>
              <w:sz w:val="16"/>
              <w:szCs w:val="16"/>
            </w:rPr>
          </w:pPr>
        </w:p>
      </w:tc>
      <w:tc>
        <w:tcPr>
          <w:tcW w:w="4235" w:type="dxa"/>
          <w:vMerge/>
          <w:tcBorders>
            <w:top w:val="single" w:sz="4" w:space="0" w:color="000000"/>
            <w:left w:val="single" w:sz="4" w:space="0" w:color="000000"/>
            <w:right w:val="single" w:sz="4" w:space="0" w:color="000000"/>
          </w:tcBorders>
          <w:vAlign w:val="center"/>
        </w:tcPr>
        <w:p w:rsidR="00FF4427" w:rsidRDefault="00FF4427">
          <w:pPr>
            <w:widowControl w:val="0"/>
            <w:spacing w:line="276" w:lineRule="auto"/>
            <w:rPr>
              <w:sz w:val="16"/>
              <w:szCs w:val="16"/>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FF4427" w:rsidRDefault="000E45D6">
          <w:pPr>
            <w:spacing w:line="276" w:lineRule="auto"/>
            <w:jc w:val="center"/>
            <w:rPr>
              <w:sz w:val="16"/>
              <w:szCs w:val="16"/>
            </w:rPr>
          </w:pPr>
          <w:r>
            <w:rPr>
              <w:sz w:val="16"/>
              <w:szCs w:val="16"/>
            </w:rPr>
            <w:t>FECHA: 14-Nov-2019</w:t>
          </w:r>
        </w:p>
      </w:tc>
    </w:tr>
  </w:tbl>
  <w:p w:rsidR="00FF4427" w:rsidRDefault="00FF4427">
    <w:pPr>
      <w:tabs>
        <w:tab w:val="center" w:pos="4419"/>
        <w:tab w:val="right" w:pos="8838"/>
      </w:tabs>
      <w:spacing w:line="240" w:lineRule="auto"/>
      <w:rPr>
        <w:b/>
      </w:rPr>
    </w:pPr>
  </w:p>
  <w:p w:rsidR="00FF4427" w:rsidRDefault="00FF442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A4935"/>
    <w:multiLevelType w:val="multilevel"/>
    <w:tmpl w:val="99F02B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AB7BAE"/>
    <w:multiLevelType w:val="multilevel"/>
    <w:tmpl w:val="0B9A7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AE67A5F"/>
    <w:multiLevelType w:val="multilevel"/>
    <w:tmpl w:val="D1B80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EBC025D"/>
    <w:multiLevelType w:val="multilevel"/>
    <w:tmpl w:val="B50C01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3F1DCA"/>
    <w:multiLevelType w:val="multilevel"/>
    <w:tmpl w:val="F0D2645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06D3A69"/>
    <w:multiLevelType w:val="multilevel"/>
    <w:tmpl w:val="01601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43B55A1"/>
    <w:multiLevelType w:val="multilevel"/>
    <w:tmpl w:val="742E7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2"/>
  </w:num>
  <w:num w:numId="3">
    <w:abstractNumId w:val="1"/>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427"/>
    <w:rsid w:val="000E45D6"/>
    <w:rsid w:val="00217FCB"/>
    <w:rsid w:val="00EE2593"/>
    <w:rsid w:val="00FF4427"/>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572C08-C56A-4844-A076-F2D51928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s-419"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left w:w="108" w:type="dxa"/>
        <w:right w:w="108" w:type="dxa"/>
      </w:tblCellMar>
    </w:tblPr>
  </w:style>
  <w:style w:type="table" w:customStyle="1" w:styleId="a0">
    <w:basedOn w:val="TableNormal"/>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catastrobogota.gov.co/sites/default/files/recursos/Documento%20censo%20V%2022-04%20%281%29_compressed.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21</Pages>
  <Words>5746</Words>
  <Characters>31605</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YOLANDA DURAN RODRIGUEZ</dc:creator>
  <cp:lastModifiedBy>ANA YOLANDA DURAN RODRIGUEZ</cp:lastModifiedBy>
  <cp:revision>3</cp:revision>
  <dcterms:created xsi:type="dcterms:W3CDTF">2025-02-11T19:35:00Z</dcterms:created>
  <dcterms:modified xsi:type="dcterms:W3CDTF">2025-02-11T19:42:00Z</dcterms:modified>
</cp:coreProperties>
</file>